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3179" w14:textId="77777777" w:rsidR="009B07F7" w:rsidRDefault="009B07F7" w:rsidP="008B3420">
      <w:pPr>
        <w:ind w:left="-1418"/>
      </w:pPr>
    </w:p>
    <w:p w14:paraId="3F10D0AA" w14:textId="77777777" w:rsidR="009B07F7" w:rsidRDefault="009B07F7" w:rsidP="00E62618"/>
    <w:tbl>
      <w:tblPr>
        <w:tblpPr w:leftFromText="180" w:rightFromText="180" w:vertAnchor="text" w:horzAnchor="margin" w:tblpY="14"/>
        <w:tblW w:w="0" w:type="auto"/>
        <w:tblBorders>
          <w:bottom w:val="single" w:sz="4" w:space="0" w:color="auto"/>
        </w:tblBorders>
        <w:tblLook w:val="0000" w:firstRow="0" w:lastRow="0" w:firstColumn="0" w:lastColumn="0" w:noHBand="0" w:noVBand="0"/>
      </w:tblPr>
      <w:tblGrid>
        <w:gridCol w:w="3540"/>
        <w:gridCol w:w="1891"/>
        <w:gridCol w:w="3639"/>
      </w:tblGrid>
      <w:tr w:rsidR="000965F6" w:rsidRPr="00512BE3" w14:paraId="34EDB3C7" w14:textId="77777777" w:rsidTr="000965F6">
        <w:trPr>
          <w:trHeight w:val="1380"/>
        </w:trPr>
        <w:tc>
          <w:tcPr>
            <w:tcW w:w="3540" w:type="dxa"/>
          </w:tcPr>
          <w:p w14:paraId="0321DE35" w14:textId="77777777" w:rsidR="000965F6" w:rsidRPr="00512BE3" w:rsidRDefault="000965F6" w:rsidP="000965F6">
            <w:pPr>
              <w:jc w:val="center"/>
              <w:rPr>
                <w:rFonts w:ascii="Arial Narrow" w:hAnsi="Arial Narrow"/>
                <w:iCs/>
                <w:sz w:val="18"/>
                <w:szCs w:val="18"/>
              </w:rPr>
            </w:pPr>
            <w:r w:rsidRPr="00512BE3">
              <w:rPr>
                <w:rFonts w:ascii="Arial Narrow" w:hAnsi="Arial Narrow"/>
                <w:iCs/>
                <w:sz w:val="18"/>
                <w:szCs w:val="18"/>
              </w:rPr>
              <w:t>Bosna i Hercegovina</w:t>
            </w:r>
          </w:p>
          <w:p w14:paraId="45563F91" w14:textId="77777777" w:rsidR="000965F6" w:rsidRPr="00512BE3" w:rsidRDefault="000965F6" w:rsidP="000965F6">
            <w:pPr>
              <w:jc w:val="center"/>
              <w:rPr>
                <w:rFonts w:ascii="Arial Narrow" w:hAnsi="Arial Narrow"/>
                <w:iCs/>
                <w:sz w:val="18"/>
                <w:szCs w:val="18"/>
              </w:rPr>
            </w:pPr>
            <w:r w:rsidRPr="00512BE3">
              <w:rPr>
                <w:rFonts w:ascii="Arial Narrow" w:hAnsi="Arial Narrow"/>
                <w:iCs/>
                <w:sz w:val="18"/>
                <w:szCs w:val="18"/>
              </w:rPr>
              <w:t>Uprava za indirektno-neizravno oporezivanje</w:t>
            </w:r>
          </w:p>
          <w:p w14:paraId="18D16CE1" w14:textId="77777777" w:rsidR="000965F6" w:rsidRPr="00512BE3" w:rsidRDefault="000965F6" w:rsidP="000965F6">
            <w:pPr>
              <w:rPr>
                <w:rFonts w:ascii="Arial Narrow" w:hAnsi="Arial Narrow"/>
                <w:i/>
                <w:sz w:val="18"/>
                <w:szCs w:val="18"/>
              </w:rPr>
            </w:pPr>
          </w:p>
        </w:tc>
        <w:tc>
          <w:tcPr>
            <w:tcW w:w="1891" w:type="dxa"/>
          </w:tcPr>
          <w:p w14:paraId="354ABDFE" w14:textId="77777777" w:rsidR="000965F6" w:rsidRPr="00512BE3" w:rsidRDefault="0073682A" w:rsidP="000965F6">
            <w:pPr>
              <w:rPr>
                <w:rFonts w:ascii="Arial Narrow" w:hAnsi="Arial Narrow"/>
              </w:rPr>
            </w:pPr>
            <w:r w:rsidRPr="00512BE3">
              <w:rPr>
                <w:noProof/>
                <w:lang w:val="bs-Latn-BA" w:eastAsia="bs-Latn-BA"/>
              </w:rPr>
              <w:drawing>
                <wp:anchor distT="0" distB="0" distL="114300" distR="114300" simplePos="0" relativeHeight="251657728" behindDoc="0" locked="0" layoutInCell="1" allowOverlap="1" wp14:anchorId="4681E94A" wp14:editId="00DF9427">
                  <wp:simplePos x="0" y="0"/>
                  <wp:positionH relativeFrom="column">
                    <wp:posOffset>277495</wp:posOffset>
                  </wp:positionH>
                  <wp:positionV relativeFrom="paragraph">
                    <wp:posOffset>27940</wp:posOffset>
                  </wp:positionV>
                  <wp:extent cx="571500" cy="685800"/>
                  <wp:effectExtent l="0" t="0" r="0" b="0"/>
                  <wp:wrapTight wrapText="bothSides">
                    <wp:wrapPolygon edited="0">
                      <wp:start x="0" y="0"/>
                      <wp:lineTo x="0" y="13200"/>
                      <wp:lineTo x="5040" y="19200"/>
                      <wp:lineTo x="7920" y="21000"/>
                      <wp:lineTo x="12960" y="21000"/>
                      <wp:lineTo x="15840" y="19200"/>
                      <wp:lineTo x="20880" y="13200"/>
                      <wp:lineTo x="20880" y="0"/>
                      <wp:lineTo x="0" y="0"/>
                    </wp:wrapPolygon>
                  </wp:wrapTight>
                  <wp:docPr id="11" name="Picture 10" descr="Grb_Bo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_Bos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9" w:type="dxa"/>
          </w:tcPr>
          <w:p w14:paraId="0F679357" w14:textId="77777777" w:rsidR="000965F6" w:rsidRPr="00512BE3" w:rsidRDefault="000F08B9" w:rsidP="000965F6">
            <w:pPr>
              <w:jc w:val="center"/>
              <w:rPr>
                <w:rFonts w:ascii="Arial Narrow" w:hAnsi="Arial Narrow"/>
                <w:iCs/>
                <w:sz w:val="18"/>
                <w:szCs w:val="18"/>
              </w:rPr>
            </w:pPr>
            <w:r w:rsidRPr="00512BE3">
              <w:rPr>
                <w:rFonts w:ascii="Arial Narrow" w:hAnsi="Arial Narrow"/>
                <w:iCs/>
                <w:sz w:val="18"/>
                <w:szCs w:val="18"/>
              </w:rPr>
              <w:t>Bosna</w:t>
            </w:r>
            <w:r w:rsidR="000965F6" w:rsidRPr="00512BE3">
              <w:rPr>
                <w:rFonts w:ascii="Arial Narrow" w:hAnsi="Arial Narrow"/>
                <w:iCs/>
                <w:sz w:val="18"/>
                <w:szCs w:val="18"/>
              </w:rPr>
              <w:t xml:space="preserve"> </w:t>
            </w:r>
            <w:r w:rsidRPr="00512BE3">
              <w:rPr>
                <w:rFonts w:ascii="Arial Narrow" w:hAnsi="Arial Narrow"/>
                <w:iCs/>
                <w:sz w:val="18"/>
                <w:szCs w:val="18"/>
              </w:rPr>
              <w:t>i</w:t>
            </w:r>
            <w:r w:rsidR="000965F6" w:rsidRPr="00512BE3">
              <w:rPr>
                <w:rFonts w:ascii="Arial Narrow" w:hAnsi="Arial Narrow"/>
                <w:iCs/>
                <w:sz w:val="18"/>
                <w:szCs w:val="18"/>
              </w:rPr>
              <w:t xml:space="preserve"> </w:t>
            </w:r>
            <w:r w:rsidRPr="00512BE3">
              <w:rPr>
                <w:rFonts w:ascii="Arial Narrow" w:hAnsi="Arial Narrow"/>
                <w:iCs/>
                <w:sz w:val="18"/>
                <w:szCs w:val="18"/>
              </w:rPr>
              <w:t>Her</w:t>
            </w:r>
            <w:r w:rsidR="000965F6" w:rsidRPr="00512BE3">
              <w:rPr>
                <w:rFonts w:ascii="Arial Narrow" w:hAnsi="Arial Narrow"/>
                <w:iCs/>
                <w:sz w:val="18"/>
                <w:szCs w:val="18"/>
              </w:rPr>
              <w:t>ц</w:t>
            </w:r>
            <w:r w:rsidRPr="00512BE3">
              <w:rPr>
                <w:rFonts w:ascii="Arial Narrow" w:hAnsi="Arial Narrow"/>
                <w:iCs/>
                <w:sz w:val="18"/>
                <w:szCs w:val="18"/>
              </w:rPr>
              <w:t>egovina</w:t>
            </w:r>
          </w:p>
          <w:p w14:paraId="138C30D2" w14:textId="77777777" w:rsidR="000965F6" w:rsidRPr="00512BE3" w:rsidRDefault="000F08B9" w:rsidP="000965F6">
            <w:pPr>
              <w:pStyle w:val="NormalWeb"/>
              <w:spacing w:before="0" w:beforeAutospacing="0" w:after="0" w:afterAutospacing="0"/>
              <w:jc w:val="center"/>
              <w:rPr>
                <w:rFonts w:ascii="Arial Narrow" w:hAnsi="Arial Narrow"/>
                <w:iCs/>
                <w:sz w:val="18"/>
                <w:szCs w:val="18"/>
              </w:rPr>
            </w:pPr>
            <w:r w:rsidRPr="00512BE3">
              <w:rPr>
                <w:rFonts w:ascii="Arial Narrow" w:hAnsi="Arial Narrow"/>
                <w:iCs/>
                <w:sz w:val="18"/>
                <w:szCs w:val="18"/>
              </w:rPr>
              <w:t>Uprava</w:t>
            </w:r>
            <w:r w:rsidR="000965F6" w:rsidRPr="00512BE3">
              <w:rPr>
                <w:rFonts w:ascii="Arial Narrow" w:hAnsi="Arial Narrow"/>
                <w:iCs/>
                <w:sz w:val="18"/>
                <w:szCs w:val="18"/>
              </w:rPr>
              <w:t xml:space="preserve"> </w:t>
            </w:r>
            <w:r w:rsidRPr="00512BE3">
              <w:rPr>
                <w:rFonts w:ascii="Arial Narrow" w:hAnsi="Arial Narrow"/>
                <w:iCs/>
                <w:sz w:val="18"/>
                <w:szCs w:val="18"/>
              </w:rPr>
              <w:t>za</w:t>
            </w:r>
            <w:r w:rsidR="000965F6" w:rsidRPr="00512BE3">
              <w:rPr>
                <w:rFonts w:ascii="Arial Narrow" w:hAnsi="Arial Narrow"/>
                <w:iCs/>
                <w:sz w:val="18"/>
                <w:szCs w:val="18"/>
              </w:rPr>
              <w:t xml:space="preserve"> </w:t>
            </w:r>
            <w:r w:rsidRPr="00512BE3">
              <w:rPr>
                <w:rFonts w:ascii="Arial Narrow" w:hAnsi="Arial Narrow"/>
                <w:iCs/>
                <w:sz w:val="18"/>
                <w:szCs w:val="18"/>
              </w:rPr>
              <w:t>indirektno</w:t>
            </w:r>
            <w:r w:rsidR="000965F6" w:rsidRPr="00512BE3">
              <w:rPr>
                <w:rFonts w:ascii="Arial Narrow" w:hAnsi="Arial Narrow"/>
                <w:iCs/>
                <w:sz w:val="18"/>
                <w:szCs w:val="18"/>
              </w:rPr>
              <w:t xml:space="preserve"> o</w:t>
            </w:r>
            <w:r w:rsidRPr="00512BE3">
              <w:rPr>
                <w:rFonts w:ascii="Arial Narrow" w:hAnsi="Arial Narrow"/>
                <w:iCs/>
                <w:sz w:val="18"/>
                <w:szCs w:val="18"/>
              </w:rPr>
              <w:t>porezivanje</w:t>
            </w:r>
            <w:r w:rsidR="000965F6" w:rsidRPr="00512BE3">
              <w:rPr>
                <w:rFonts w:ascii="Arial Narrow" w:hAnsi="Arial Narrow"/>
                <w:iCs/>
                <w:sz w:val="18"/>
                <w:szCs w:val="18"/>
              </w:rPr>
              <w:t xml:space="preserve"> </w:t>
            </w:r>
          </w:p>
          <w:p w14:paraId="0439B552" w14:textId="77777777" w:rsidR="000965F6" w:rsidRPr="00512BE3" w:rsidRDefault="000965F6" w:rsidP="000965F6">
            <w:pPr>
              <w:jc w:val="center"/>
              <w:rPr>
                <w:rFonts w:ascii="Arial Narrow" w:hAnsi="Arial Narrow"/>
                <w:i/>
                <w:sz w:val="20"/>
              </w:rPr>
            </w:pPr>
          </w:p>
        </w:tc>
      </w:tr>
    </w:tbl>
    <w:p w14:paraId="1E169A7C" w14:textId="77777777" w:rsidR="009B07F7" w:rsidRPr="00512BE3" w:rsidRDefault="009B07F7" w:rsidP="00E62618"/>
    <w:p w14:paraId="64313B92" w14:textId="77777777" w:rsidR="00E62618" w:rsidRPr="00512BE3" w:rsidRDefault="00E62618" w:rsidP="00E62618">
      <w:pPr>
        <w:ind w:hanging="720"/>
        <w:rPr>
          <w:rStyle w:val="MessageHeaderLabel"/>
          <w:bCs w:val="0"/>
          <w:lang w:eastAsia="en-US"/>
        </w:rPr>
      </w:pPr>
      <w:r w:rsidRPr="00512BE3">
        <w:rPr>
          <w:rStyle w:val="MessageHeaderLabel"/>
        </w:rPr>
        <w:t xml:space="preserve">    </w:t>
      </w:r>
    </w:p>
    <w:p w14:paraId="4FC7368A" w14:textId="77777777" w:rsidR="004C3C3C" w:rsidRPr="00512BE3" w:rsidRDefault="004C3C3C" w:rsidP="00802002">
      <w:pPr>
        <w:ind w:hanging="720"/>
        <w:jc w:val="center"/>
      </w:pPr>
    </w:p>
    <w:p w14:paraId="2884388E" w14:textId="77777777" w:rsidR="004C3C3C" w:rsidRPr="00512BE3" w:rsidRDefault="004C3C3C" w:rsidP="00802002">
      <w:pPr>
        <w:ind w:hanging="720"/>
        <w:jc w:val="center"/>
      </w:pPr>
    </w:p>
    <w:p w14:paraId="737A730E" w14:textId="77777777" w:rsidR="004C3C3C" w:rsidRPr="00512BE3" w:rsidRDefault="004C3C3C" w:rsidP="00802002">
      <w:pPr>
        <w:ind w:hanging="720"/>
        <w:jc w:val="center"/>
      </w:pPr>
    </w:p>
    <w:p w14:paraId="3B9CC743" w14:textId="77777777" w:rsidR="004C3C3C" w:rsidRPr="00512BE3" w:rsidRDefault="004C3C3C" w:rsidP="00802002">
      <w:pPr>
        <w:ind w:hanging="720"/>
        <w:jc w:val="center"/>
      </w:pPr>
    </w:p>
    <w:p w14:paraId="089533D4" w14:textId="77777777" w:rsidR="004C3C3C" w:rsidRPr="00512BE3" w:rsidRDefault="004C3C3C" w:rsidP="00802002">
      <w:pPr>
        <w:ind w:hanging="720"/>
        <w:jc w:val="center"/>
      </w:pPr>
    </w:p>
    <w:p w14:paraId="5EF2015D" w14:textId="77777777" w:rsidR="004C3C3C" w:rsidRPr="00512BE3" w:rsidRDefault="004C3C3C" w:rsidP="00802002">
      <w:pPr>
        <w:ind w:hanging="720"/>
        <w:jc w:val="center"/>
      </w:pPr>
    </w:p>
    <w:p w14:paraId="052B3337" w14:textId="77777777" w:rsidR="004C3C3C" w:rsidRPr="00512BE3" w:rsidRDefault="004C3C3C" w:rsidP="00802002">
      <w:pPr>
        <w:ind w:hanging="720"/>
        <w:jc w:val="center"/>
      </w:pPr>
    </w:p>
    <w:p w14:paraId="65588411" w14:textId="77777777" w:rsidR="004C3C3C" w:rsidRPr="00512BE3" w:rsidRDefault="004C3C3C" w:rsidP="00802002">
      <w:pPr>
        <w:ind w:hanging="720"/>
        <w:jc w:val="center"/>
      </w:pPr>
    </w:p>
    <w:p w14:paraId="0FCF7E22" w14:textId="77777777" w:rsidR="004C3C3C" w:rsidRPr="00512BE3" w:rsidRDefault="004C3C3C" w:rsidP="00802002">
      <w:pPr>
        <w:ind w:hanging="720"/>
        <w:jc w:val="center"/>
        <w:rPr>
          <w:lang w:val="bs-Latn-BA"/>
        </w:rPr>
      </w:pPr>
    </w:p>
    <w:p w14:paraId="26269ECB" w14:textId="77777777" w:rsidR="004C3C3C" w:rsidRPr="00512BE3" w:rsidRDefault="004C3C3C" w:rsidP="00802002">
      <w:pPr>
        <w:ind w:hanging="720"/>
        <w:jc w:val="center"/>
      </w:pPr>
    </w:p>
    <w:p w14:paraId="32A68D51" w14:textId="77777777" w:rsidR="004C3C3C" w:rsidRPr="00512BE3" w:rsidRDefault="004C3C3C" w:rsidP="00802002"/>
    <w:p w14:paraId="3A881F6A" w14:textId="77777777" w:rsidR="004C3C3C" w:rsidRPr="00512BE3" w:rsidRDefault="004C3C3C" w:rsidP="00802002">
      <w:pPr>
        <w:ind w:hanging="720"/>
        <w:jc w:val="center"/>
        <w:rPr>
          <w:lang w:val="bs-Latn-BA"/>
        </w:rPr>
      </w:pPr>
    </w:p>
    <w:p w14:paraId="1329E7D3" w14:textId="77777777" w:rsidR="004C3C3C" w:rsidRPr="00512BE3" w:rsidRDefault="004C3C3C" w:rsidP="00802002">
      <w:pPr>
        <w:ind w:hanging="720"/>
        <w:jc w:val="center"/>
      </w:pPr>
    </w:p>
    <w:p w14:paraId="49AF339D" w14:textId="77777777" w:rsidR="00EB0D16" w:rsidRPr="00512BE3" w:rsidRDefault="00EB0D16" w:rsidP="00802002">
      <w:pPr>
        <w:ind w:hanging="720"/>
        <w:jc w:val="center"/>
      </w:pPr>
    </w:p>
    <w:p w14:paraId="615BDD15" w14:textId="77777777" w:rsidR="00EB0D16" w:rsidRPr="00512BE3" w:rsidRDefault="00EB0D16" w:rsidP="00802002">
      <w:pPr>
        <w:ind w:hanging="720"/>
        <w:jc w:val="center"/>
      </w:pPr>
    </w:p>
    <w:p w14:paraId="1C3D60AC" w14:textId="77777777" w:rsidR="004C3C3C" w:rsidRPr="00512BE3" w:rsidRDefault="004C3C3C" w:rsidP="00802002">
      <w:pPr>
        <w:ind w:hanging="720"/>
        <w:jc w:val="center"/>
        <w:rPr>
          <w:b/>
        </w:rPr>
      </w:pPr>
    </w:p>
    <w:p w14:paraId="79B26B7D" w14:textId="77777777" w:rsidR="00EC7384" w:rsidRPr="009804D0" w:rsidRDefault="004C3C3C" w:rsidP="00802002">
      <w:pPr>
        <w:ind w:hanging="720"/>
        <w:jc w:val="center"/>
        <w:rPr>
          <w:b/>
          <w:sz w:val="28"/>
          <w:szCs w:val="28"/>
        </w:rPr>
      </w:pPr>
      <w:r w:rsidRPr="009804D0">
        <w:rPr>
          <w:b/>
          <w:sz w:val="28"/>
          <w:szCs w:val="28"/>
        </w:rPr>
        <w:t>IZVJEŠTAJ O RADU</w:t>
      </w:r>
      <w:r w:rsidR="00074706" w:rsidRPr="009804D0">
        <w:rPr>
          <w:b/>
          <w:sz w:val="28"/>
          <w:szCs w:val="28"/>
        </w:rPr>
        <w:t xml:space="preserve"> </w:t>
      </w:r>
    </w:p>
    <w:p w14:paraId="4CD2A5C7" w14:textId="77777777" w:rsidR="0093572C" w:rsidRPr="009804D0" w:rsidRDefault="00074706" w:rsidP="00802002">
      <w:pPr>
        <w:ind w:hanging="720"/>
        <w:jc w:val="center"/>
        <w:rPr>
          <w:b/>
          <w:sz w:val="28"/>
          <w:szCs w:val="28"/>
        </w:rPr>
      </w:pPr>
      <w:r w:rsidRPr="009804D0">
        <w:rPr>
          <w:b/>
          <w:sz w:val="28"/>
          <w:szCs w:val="28"/>
        </w:rPr>
        <w:t>U</w:t>
      </w:r>
      <w:r w:rsidR="00EC7384" w:rsidRPr="009804D0">
        <w:rPr>
          <w:b/>
          <w:sz w:val="28"/>
          <w:szCs w:val="28"/>
        </w:rPr>
        <w:t xml:space="preserve">PRAVE ZA INDIREKTNO OPOREZIVANJE </w:t>
      </w:r>
      <w:r w:rsidR="00B97E5F" w:rsidRPr="009804D0">
        <w:rPr>
          <w:b/>
          <w:sz w:val="28"/>
          <w:szCs w:val="28"/>
        </w:rPr>
        <w:t>ZA 2022</w:t>
      </w:r>
      <w:r w:rsidR="004C3C3C" w:rsidRPr="009804D0">
        <w:rPr>
          <w:b/>
          <w:sz w:val="28"/>
          <w:szCs w:val="28"/>
        </w:rPr>
        <w:t>. GODINU</w:t>
      </w:r>
    </w:p>
    <w:p w14:paraId="482E9770" w14:textId="77777777" w:rsidR="00EC7384" w:rsidRPr="009804D0" w:rsidRDefault="00EC7384" w:rsidP="00EC7384">
      <w:pPr>
        <w:rPr>
          <w:b/>
          <w:sz w:val="28"/>
          <w:szCs w:val="28"/>
        </w:rPr>
      </w:pPr>
    </w:p>
    <w:p w14:paraId="3E747CDA" w14:textId="77777777" w:rsidR="00EC7384" w:rsidRPr="00512BE3" w:rsidRDefault="00EC7384" w:rsidP="00EC7384">
      <w:pPr>
        <w:rPr>
          <w:b/>
        </w:rPr>
      </w:pPr>
    </w:p>
    <w:p w14:paraId="15E696E2" w14:textId="77777777" w:rsidR="00EC7384" w:rsidRPr="00512BE3" w:rsidRDefault="00EC7384" w:rsidP="00EC7384">
      <w:pPr>
        <w:rPr>
          <w:b/>
        </w:rPr>
      </w:pPr>
    </w:p>
    <w:p w14:paraId="4A370DDB" w14:textId="77777777" w:rsidR="00EC7384" w:rsidRPr="00512BE3" w:rsidRDefault="00EC7384" w:rsidP="00EC7384">
      <w:pPr>
        <w:rPr>
          <w:b/>
        </w:rPr>
      </w:pPr>
    </w:p>
    <w:p w14:paraId="3D1B556A" w14:textId="77777777" w:rsidR="00EC7384" w:rsidRPr="00512BE3" w:rsidRDefault="00EC7384" w:rsidP="00EC7384">
      <w:pPr>
        <w:rPr>
          <w:b/>
        </w:rPr>
      </w:pPr>
    </w:p>
    <w:p w14:paraId="5CA88897" w14:textId="77777777" w:rsidR="00EC7384" w:rsidRPr="00512BE3" w:rsidRDefault="00EC7384" w:rsidP="00EC7384">
      <w:pPr>
        <w:rPr>
          <w:b/>
        </w:rPr>
      </w:pPr>
    </w:p>
    <w:p w14:paraId="488CF4D4" w14:textId="77777777" w:rsidR="00EC7384" w:rsidRPr="00512BE3" w:rsidRDefault="00EC7384" w:rsidP="00EC7384">
      <w:pPr>
        <w:rPr>
          <w:b/>
        </w:rPr>
      </w:pPr>
    </w:p>
    <w:p w14:paraId="6299390A" w14:textId="77777777" w:rsidR="00EC7384" w:rsidRPr="00512BE3" w:rsidRDefault="00EC7384" w:rsidP="00EC7384">
      <w:pPr>
        <w:rPr>
          <w:b/>
        </w:rPr>
      </w:pPr>
    </w:p>
    <w:p w14:paraId="2B2E0E2C" w14:textId="77777777" w:rsidR="00EC7384" w:rsidRPr="00512BE3" w:rsidRDefault="00EC7384" w:rsidP="00EC7384">
      <w:pPr>
        <w:rPr>
          <w:b/>
        </w:rPr>
      </w:pPr>
    </w:p>
    <w:p w14:paraId="20E28A26" w14:textId="77777777" w:rsidR="00EC7384" w:rsidRPr="00512BE3" w:rsidRDefault="00EC7384" w:rsidP="00EC7384">
      <w:pPr>
        <w:rPr>
          <w:b/>
        </w:rPr>
      </w:pPr>
    </w:p>
    <w:p w14:paraId="2DDA9751" w14:textId="77777777" w:rsidR="00EC7384" w:rsidRPr="00512BE3" w:rsidRDefault="00EC7384" w:rsidP="00EC7384">
      <w:pPr>
        <w:rPr>
          <w:b/>
        </w:rPr>
      </w:pPr>
    </w:p>
    <w:p w14:paraId="35EBCB27" w14:textId="77777777" w:rsidR="00EC7384" w:rsidRPr="00512BE3" w:rsidRDefault="00EC7384" w:rsidP="00EC7384">
      <w:pPr>
        <w:rPr>
          <w:b/>
        </w:rPr>
      </w:pPr>
    </w:p>
    <w:p w14:paraId="31DD7102" w14:textId="77777777" w:rsidR="00EC7384" w:rsidRPr="00512BE3" w:rsidRDefault="00EC7384" w:rsidP="00EC7384">
      <w:pPr>
        <w:rPr>
          <w:b/>
        </w:rPr>
      </w:pPr>
    </w:p>
    <w:p w14:paraId="17452B67" w14:textId="77777777" w:rsidR="00EC7384" w:rsidRPr="00512BE3" w:rsidRDefault="00EC7384" w:rsidP="00EC7384">
      <w:pPr>
        <w:rPr>
          <w:b/>
        </w:rPr>
      </w:pPr>
    </w:p>
    <w:p w14:paraId="539EC171" w14:textId="77777777" w:rsidR="00EC7384" w:rsidRPr="00512BE3" w:rsidRDefault="00EC7384" w:rsidP="00EC7384">
      <w:pPr>
        <w:rPr>
          <w:b/>
        </w:rPr>
      </w:pPr>
    </w:p>
    <w:p w14:paraId="0C7000A5" w14:textId="77777777" w:rsidR="00EC7384" w:rsidRPr="00512BE3" w:rsidRDefault="00EC7384" w:rsidP="00EC7384">
      <w:pPr>
        <w:rPr>
          <w:b/>
        </w:rPr>
      </w:pPr>
    </w:p>
    <w:p w14:paraId="3FD55F55" w14:textId="77777777" w:rsidR="00EC7384" w:rsidRPr="00512BE3" w:rsidRDefault="00EC7384" w:rsidP="00EC7384">
      <w:pPr>
        <w:rPr>
          <w:b/>
        </w:rPr>
      </w:pPr>
    </w:p>
    <w:p w14:paraId="77B70BDA" w14:textId="77777777" w:rsidR="00EC7384" w:rsidRPr="00512BE3" w:rsidRDefault="00EC7384" w:rsidP="00EC7384">
      <w:pPr>
        <w:rPr>
          <w:b/>
        </w:rPr>
      </w:pPr>
    </w:p>
    <w:p w14:paraId="444EB171" w14:textId="77777777" w:rsidR="00EC7384" w:rsidRPr="00512BE3" w:rsidRDefault="00EC7384" w:rsidP="00EC7384">
      <w:pPr>
        <w:rPr>
          <w:b/>
        </w:rPr>
      </w:pPr>
    </w:p>
    <w:p w14:paraId="19FA10A6" w14:textId="77777777" w:rsidR="00EC7384" w:rsidRPr="00512BE3" w:rsidRDefault="00EC7384" w:rsidP="00EC7384">
      <w:pPr>
        <w:rPr>
          <w:b/>
        </w:rPr>
      </w:pPr>
    </w:p>
    <w:p w14:paraId="295D668E" w14:textId="77777777" w:rsidR="00EC7384" w:rsidRPr="00512BE3" w:rsidRDefault="00EC7384" w:rsidP="00EC7384">
      <w:pPr>
        <w:rPr>
          <w:b/>
        </w:rPr>
      </w:pPr>
    </w:p>
    <w:p w14:paraId="7F341C8A" w14:textId="77777777" w:rsidR="00EC7384" w:rsidRPr="00512BE3" w:rsidRDefault="00EC7384" w:rsidP="00EC7384">
      <w:pPr>
        <w:rPr>
          <w:b/>
        </w:rPr>
      </w:pPr>
    </w:p>
    <w:p w14:paraId="0D37DADD" w14:textId="77777777" w:rsidR="00EC7384" w:rsidRPr="00512BE3" w:rsidRDefault="00EC7384" w:rsidP="00EC7384">
      <w:pPr>
        <w:rPr>
          <w:b/>
        </w:rPr>
      </w:pPr>
    </w:p>
    <w:p w14:paraId="32D40629" w14:textId="77777777" w:rsidR="00EC7384" w:rsidRPr="00512BE3" w:rsidRDefault="00EC7384" w:rsidP="00EC7384">
      <w:pPr>
        <w:rPr>
          <w:b/>
        </w:rPr>
      </w:pPr>
    </w:p>
    <w:p w14:paraId="0AFD1D60" w14:textId="77777777" w:rsidR="00EC7384" w:rsidRPr="00512BE3" w:rsidRDefault="00EC7384" w:rsidP="00EC7384">
      <w:pPr>
        <w:rPr>
          <w:b/>
        </w:rPr>
      </w:pPr>
    </w:p>
    <w:p w14:paraId="2B5CB47B" w14:textId="77777777" w:rsidR="00EC7384" w:rsidRPr="00512BE3" w:rsidRDefault="00EC7384" w:rsidP="00EC7384">
      <w:pPr>
        <w:rPr>
          <w:b/>
        </w:rPr>
      </w:pPr>
    </w:p>
    <w:p w14:paraId="1E84ACE6" w14:textId="77777777" w:rsidR="00EC7384" w:rsidRPr="00512BE3" w:rsidRDefault="00EC7384" w:rsidP="00EC7384">
      <w:pPr>
        <w:rPr>
          <w:b/>
        </w:rPr>
      </w:pPr>
    </w:p>
    <w:p w14:paraId="62E9C1B4" w14:textId="77777777" w:rsidR="00EC7384" w:rsidRPr="00512BE3" w:rsidRDefault="00EC7384" w:rsidP="00EC7384">
      <w:pPr>
        <w:rPr>
          <w:b/>
        </w:rPr>
      </w:pPr>
    </w:p>
    <w:p w14:paraId="3CB9018A" w14:textId="77777777" w:rsidR="00EC7384" w:rsidRPr="00512BE3" w:rsidRDefault="00FE09DB" w:rsidP="00EC7384">
      <w:pPr>
        <w:rPr>
          <w:b/>
          <w:color w:val="FF0000"/>
        </w:rPr>
        <w:sectPr w:rsidR="00EC7384" w:rsidRPr="00512BE3" w:rsidSect="004242B8">
          <w:pgSz w:w="11906" w:h="16838"/>
          <w:pgMar w:top="0" w:right="1418" w:bottom="568" w:left="1418" w:header="708" w:footer="708" w:gutter="0"/>
          <w:cols w:space="708"/>
          <w:docGrid w:linePitch="360"/>
        </w:sectPr>
      </w:pPr>
      <w:r w:rsidRPr="00512BE3">
        <w:rPr>
          <w:b/>
        </w:rPr>
        <w:t xml:space="preserve">Banja Luka, </w:t>
      </w:r>
      <w:r w:rsidR="00E7183C" w:rsidRPr="00512BE3">
        <w:rPr>
          <w:b/>
        </w:rPr>
        <w:t>januar 202</w:t>
      </w:r>
      <w:r w:rsidR="00B97E5F" w:rsidRPr="00512BE3">
        <w:rPr>
          <w:b/>
        </w:rPr>
        <w:t>3</w:t>
      </w:r>
      <w:r w:rsidR="00EC7384" w:rsidRPr="00512BE3">
        <w:rPr>
          <w:b/>
        </w:rPr>
        <w:t>. godine</w:t>
      </w:r>
    </w:p>
    <w:p w14:paraId="207CDB3C" w14:textId="77777777" w:rsidR="00FE6814" w:rsidRPr="00512BE3" w:rsidRDefault="00FE6814" w:rsidP="00FE6814">
      <w:pPr>
        <w:pStyle w:val="TOC1"/>
        <w:rPr>
          <w:b/>
          <w:i/>
        </w:rPr>
      </w:pPr>
      <w:r w:rsidRPr="00512BE3">
        <w:rPr>
          <w:b/>
          <w:i/>
        </w:rPr>
        <w:lastRenderedPageBreak/>
        <w:t>SADRŽAJ</w:t>
      </w:r>
    </w:p>
    <w:p w14:paraId="70F346F0" w14:textId="46368D85" w:rsidR="0044642B" w:rsidRPr="00512BE3" w:rsidRDefault="00E62618">
      <w:pPr>
        <w:pStyle w:val="TOC1"/>
        <w:rPr>
          <w:rFonts w:asciiTheme="minorHAnsi" w:eastAsiaTheme="minorEastAsia" w:hAnsiTheme="minorHAnsi" w:cstheme="minorBidi"/>
          <w:i/>
          <w:sz w:val="22"/>
          <w:lang w:val="sr-Latn-BA" w:eastAsia="sr-Latn-BA"/>
        </w:rPr>
      </w:pPr>
      <w:r w:rsidRPr="00512BE3">
        <w:rPr>
          <w:rFonts w:ascii="Calibri" w:hAnsi="Calibri"/>
          <w:i/>
          <w:noProof w:val="0"/>
          <w:szCs w:val="24"/>
        </w:rPr>
        <w:fldChar w:fldCharType="begin"/>
      </w:r>
      <w:r w:rsidRPr="00512BE3">
        <w:rPr>
          <w:i/>
          <w:szCs w:val="24"/>
        </w:rPr>
        <w:instrText xml:space="preserve"> TOC \o "1-3" \h \z \u </w:instrText>
      </w:r>
      <w:r w:rsidRPr="00512BE3">
        <w:rPr>
          <w:rFonts w:ascii="Calibri" w:hAnsi="Calibri"/>
          <w:i/>
          <w:noProof w:val="0"/>
          <w:szCs w:val="24"/>
        </w:rPr>
        <w:fldChar w:fldCharType="separate"/>
      </w:r>
      <w:hyperlink w:anchor="_Toc95294144" w:history="1">
        <w:r w:rsidR="0044642B" w:rsidRPr="00512BE3">
          <w:rPr>
            <w:rStyle w:val="Hyperlink"/>
            <w:i/>
            <w:lang w:val="sv-SE"/>
          </w:rPr>
          <w:t>UVOD</w:t>
        </w:r>
        <w:r w:rsidR="0044642B" w:rsidRPr="00512BE3">
          <w:rPr>
            <w:i/>
            <w:webHidden/>
          </w:rPr>
          <w:tab/>
        </w:r>
        <w:r w:rsidR="0044642B" w:rsidRPr="00512BE3">
          <w:rPr>
            <w:i/>
            <w:webHidden/>
          </w:rPr>
          <w:fldChar w:fldCharType="begin"/>
        </w:r>
        <w:r w:rsidR="0044642B" w:rsidRPr="00512BE3">
          <w:rPr>
            <w:i/>
            <w:webHidden/>
          </w:rPr>
          <w:instrText xml:space="preserve"> PAGEREF _Toc95294144 \h </w:instrText>
        </w:r>
        <w:r w:rsidR="0044642B" w:rsidRPr="00512BE3">
          <w:rPr>
            <w:i/>
            <w:webHidden/>
          </w:rPr>
        </w:r>
        <w:r w:rsidR="0044642B" w:rsidRPr="00512BE3">
          <w:rPr>
            <w:i/>
            <w:webHidden/>
          </w:rPr>
          <w:fldChar w:fldCharType="separate"/>
        </w:r>
        <w:r w:rsidR="004A2798">
          <w:rPr>
            <w:i/>
            <w:webHidden/>
          </w:rPr>
          <w:t>2</w:t>
        </w:r>
        <w:r w:rsidR="0044642B" w:rsidRPr="00512BE3">
          <w:rPr>
            <w:i/>
            <w:webHidden/>
          </w:rPr>
          <w:fldChar w:fldCharType="end"/>
        </w:r>
      </w:hyperlink>
    </w:p>
    <w:p w14:paraId="3FF56398" w14:textId="6E0C2807" w:rsidR="0044642B" w:rsidRPr="00512BE3" w:rsidRDefault="001538CB">
      <w:pPr>
        <w:pStyle w:val="TOC1"/>
        <w:rPr>
          <w:rFonts w:asciiTheme="minorHAnsi" w:eastAsiaTheme="minorEastAsia" w:hAnsiTheme="minorHAnsi" w:cstheme="minorBidi"/>
          <w:i/>
          <w:sz w:val="22"/>
          <w:lang w:val="sr-Latn-BA" w:eastAsia="sr-Latn-BA"/>
        </w:rPr>
      </w:pPr>
      <w:hyperlink w:anchor="_Toc95294145" w:history="1">
        <w:r w:rsidR="0044642B" w:rsidRPr="00512BE3">
          <w:rPr>
            <w:rStyle w:val="Hyperlink"/>
            <w:i/>
          </w:rPr>
          <w:t>1</w:t>
        </w:r>
        <w:r w:rsidR="0044642B" w:rsidRPr="00512BE3">
          <w:rPr>
            <w:rFonts w:asciiTheme="minorHAnsi" w:eastAsiaTheme="minorEastAsia" w:hAnsiTheme="minorHAnsi" w:cstheme="minorBidi"/>
            <w:i/>
            <w:sz w:val="22"/>
            <w:lang w:val="sr-Latn-BA" w:eastAsia="sr-Latn-BA"/>
          </w:rPr>
          <w:tab/>
        </w:r>
        <w:r w:rsidR="0044642B" w:rsidRPr="00512BE3">
          <w:rPr>
            <w:rStyle w:val="Hyperlink"/>
            <w:i/>
          </w:rPr>
          <w:t>NAPLATA PRIHODA</w:t>
        </w:r>
        <w:r w:rsidR="0044642B" w:rsidRPr="00512BE3">
          <w:rPr>
            <w:i/>
            <w:webHidden/>
          </w:rPr>
          <w:tab/>
        </w:r>
        <w:r w:rsidR="0044642B" w:rsidRPr="00512BE3">
          <w:rPr>
            <w:i/>
            <w:webHidden/>
          </w:rPr>
          <w:fldChar w:fldCharType="begin"/>
        </w:r>
        <w:r w:rsidR="0044642B" w:rsidRPr="00512BE3">
          <w:rPr>
            <w:i/>
            <w:webHidden/>
          </w:rPr>
          <w:instrText xml:space="preserve"> PAGEREF _Toc95294145 \h </w:instrText>
        </w:r>
        <w:r w:rsidR="0044642B" w:rsidRPr="00512BE3">
          <w:rPr>
            <w:i/>
            <w:webHidden/>
          </w:rPr>
        </w:r>
        <w:r w:rsidR="0044642B" w:rsidRPr="00512BE3">
          <w:rPr>
            <w:i/>
            <w:webHidden/>
          </w:rPr>
          <w:fldChar w:fldCharType="separate"/>
        </w:r>
        <w:r w:rsidR="004A2798">
          <w:rPr>
            <w:i/>
            <w:webHidden/>
          </w:rPr>
          <w:t>2</w:t>
        </w:r>
        <w:r w:rsidR="0044642B" w:rsidRPr="00512BE3">
          <w:rPr>
            <w:i/>
            <w:webHidden/>
          </w:rPr>
          <w:fldChar w:fldCharType="end"/>
        </w:r>
      </w:hyperlink>
    </w:p>
    <w:p w14:paraId="43FA822E" w14:textId="3C590991" w:rsidR="0044642B" w:rsidRPr="00512BE3" w:rsidRDefault="001538CB">
      <w:pPr>
        <w:pStyle w:val="TOC1"/>
        <w:rPr>
          <w:rFonts w:asciiTheme="minorHAnsi" w:eastAsiaTheme="minorEastAsia" w:hAnsiTheme="minorHAnsi" w:cstheme="minorBidi"/>
          <w:i/>
          <w:sz w:val="22"/>
          <w:lang w:val="sr-Latn-BA" w:eastAsia="sr-Latn-BA"/>
        </w:rPr>
      </w:pPr>
      <w:hyperlink w:anchor="_Toc95294146" w:history="1">
        <w:r w:rsidR="0044642B" w:rsidRPr="00512BE3">
          <w:rPr>
            <w:rStyle w:val="Hyperlink"/>
            <w:i/>
            <w:lang w:val="sl-SI"/>
          </w:rPr>
          <w:t>2</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sl-SI"/>
          </w:rPr>
          <w:t>RASPODJELA PRIHODA</w:t>
        </w:r>
        <w:r w:rsidR="0044642B" w:rsidRPr="00512BE3">
          <w:rPr>
            <w:i/>
            <w:webHidden/>
          </w:rPr>
          <w:tab/>
        </w:r>
        <w:r w:rsidR="0044642B" w:rsidRPr="00512BE3">
          <w:rPr>
            <w:i/>
            <w:webHidden/>
          </w:rPr>
          <w:fldChar w:fldCharType="begin"/>
        </w:r>
        <w:r w:rsidR="0044642B" w:rsidRPr="00512BE3">
          <w:rPr>
            <w:i/>
            <w:webHidden/>
          </w:rPr>
          <w:instrText xml:space="preserve"> PAGEREF _Toc95294146 \h </w:instrText>
        </w:r>
        <w:r w:rsidR="0044642B" w:rsidRPr="00512BE3">
          <w:rPr>
            <w:i/>
            <w:webHidden/>
          </w:rPr>
        </w:r>
        <w:r w:rsidR="0044642B" w:rsidRPr="00512BE3">
          <w:rPr>
            <w:i/>
            <w:webHidden/>
          </w:rPr>
          <w:fldChar w:fldCharType="separate"/>
        </w:r>
        <w:r w:rsidR="004A2798">
          <w:rPr>
            <w:i/>
            <w:webHidden/>
          </w:rPr>
          <w:t>4</w:t>
        </w:r>
        <w:r w:rsidR="0044642B" w:rsidRPr="00512BE3">
          <w:rPr>
            <w:i/>
            <w:webHidden/>
          </w:rPr>
          <w:fldChar w:fldCharType="end"/>
        </w:r>
      </w:hyperlink>
    </w:p>
    <w:p w14:paraId="7C60EEE1" w14:textId="6E07452F" w:rsidR="0044642B" w:rsidRPr="00512BE3" w:rsidRDefault="001538CB">
      <w:pPr>
        <w:pStyle w:val="TOC1"/>
        <w:rPr>
          <w:rFonts w:asciiTheme="minorHAnsi" w:eastAsiaTheme="minorEastAsia" w:hAnsiTheme="minorHAnsi" w:cstheme="minorBidi"/>
          <w:i/>
          <w:sz w:val="22"/>
          <w:lang w:val="sr-Latn-BA" w:eastAsia="sr-Latn-BA"/>
        </w:rPr>
      </w:pPr>
      <w:hyperlink w:anchor="_Toc95294147" w:history="1">
        <w:r w:rsidR="0044642B" w:rsidRPr="00512BE3">
          <w:rPr>
            <w:rStyle w:val="Hyperlink"/>
            <w:i/>
            <w:lang w:val="sr-Latn-CS"/>
          </w:rPr>
          <w:t>3</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sr-Latn-CS"/>
          </w:rPr>
          <w:t>POVRAT INDIREKTNIH POREZA</w:t>
        </w:r>
        <w:r w:rsidR="0044642B" w:rsidRPr="00512BE3">
          <w:rPr>
            <w:i/>
            <w:webHidden/>
          </w:rPr>
          <w:tab/>
        </w:r>
        <w:r w:rsidR="0044642B" w:rsidRPr="00512BE3">
          <w:rPr>
            <w:i/>
            <w:webHidden/>
          </w:rPr>
          <w:fldChar w:fldCharType="begin"/>
        </w:r>
        <w:r w:rsidR="0044642B" w:rsidRPr="00512BE3">
          <w:rPr>
            <w:i/>
            <w:webHidden/>
          </w:rPr>
          <w:instrText xml:space="preserve"> PAGEREF _Toc95294147 \h </w:instrText>
        </w:r>
        <w:r w:rsidR="0044642B" w:rsidRPr="00512BE3">
          <w:rPr>
            <w:i/>
            <w:webHidden/>
          </w:rPr>
        </w:r>
        <w:r w:rsidR="0044642B" w:rsidRPr="00512BE3">
          <w:rPr>
            <w:i/>
            <w:webHidden/>
          </w:rPr>
          <w:fldChar w:fldCharType="separate"/>
        </w:r>
        <w:r w:rsidR="004A2798">
          <w:rPr>
            <w:i/>
            <w:webHidden/>
          </w:rPr>
          <w:t>5</w:t>
        </w:r>
        <w:r w:rsidR="0044642B" w:rsidRPr="00512BE3">
          <w:rPr>
            <w:i/>
            <w:webHidden/>
          </w:rPr>
          <w:fldChar w:fldCharType="end"/>
        </w:r>
      </w:hyperlink>
    </w:p>
    <w:p w14:paraId="2DB93B94" w14:textId="22BF7A22" w:rsidR="0044642B" w:rsidRPr="00512BE3" w:rsidRDefault="001538CB">
      <w:pPr>
        <w:pStyle w:val="TOC1"/>
        <w:rPr>
          <w:rFonts w:asciiTheme="minorHAnsi" w:eastAsiaTheme="minorEastAsia" w:hAnsiTheme="minorHAnsi" w:cstheme="minorBidi"/>
          <w:i/>
          <w:sz w:val="22"/>
          <w:lang w:val="sr-Latn-BA" w:eastAsia="sr-Latn-BA"/>
        </w:rPr>
      </w:pPr>
      <w:hyperlink w:anchor="_Toc95294148" w:history="1">
        <w:r w:rsidR="0044642B" w:rsidRPr="00512BE3">
          <w:rPr>
            <w:rStyle w:val="Hyperlink"/>
            <w:i/>
            <w:lang w:val="bs-Latn-BA"/>
          </w:rPr>
          <w:t>4</w:t>
        </w:r>
        <w:r w:rsidR="0044642B" w:rsidRPr="00512BE3">
          <w:rPr>
            <w:rFonts w:asciiTheme="minorHAnsi" w:eastAsiaTheme="minorEastAsia" w:hAnsiTheme="minorHAnsi" w:cstheme="minorBidi"/>
            <w:i/>
            <w:sz w:val="22"/>
            <w:lang w:val="sr-Latn-BA" w:eastAsia="sr-Latn-BA"/>
          </w:rPr>
          <w:tab/>
        </w:r>
        <w:r w:rsidR="0044642B" w:rsidRPr="00512BE3">
          <w:rPr>
            <w:rStyle w:val="Hyperlink"/>
            <w:i/>
          </w:rPr>
          <w:t>PRINUDNA NAPLATA</w:t>
        </w:r>
        <w:r w:rsidR="0044642B" w:rsidRPr="00512BE3">
          <w:rPr>
            <w:i/>
            <w:webHidden/>
          </w:rPr>
          <w:tab/>
        </w:r>
        <w:r w:rsidR="0044642B" w:rsidRPr="00512BE3">
          <w:rPr>
            <w:i/>
            <w:webHidden/>
          </w:rPr>
          <w:fldChar w:fldCharType="begin"/>
        </w:r>
        <w:r w:rsidR="0044642B" w:rsidRPr="00512BE3">
          <w:rPr>
            <w:i/>
            <w:webHidden/>
          </w:rPr>
          <w:instrText xml:space="preserve"> PAGEREF _Toc95294148 \h </w:instrText>
        </w:r>
        <w:r w:rsidR="0044642B" w:rsidRPr="00512BE3">
          <w:rPr>
            <w:i/>
            <w:webHidden/>
          </w:rPr>
        </w:r>
        <w:r w:rsidR="0044642B" w:rsidRPr="00512BE3">
          <w:rPr>
            <w:i/>
            <w:webHidden/>
          </w:rPr>
          <w:fldChar w:fldCharType="separate"/>
        </w:r>
        <w:r w:rsidR="004A2798">
          <w:rPr>
            <w:i/>
            <w:webHidden/>
          </w:rPr>
          <w:t>6</w:t>
        </w:r>
        <w:r w:rsidR="0044642B" w:rsidRPr="00512BE3">
          <w:rPr>
            <w:i/>
            <w:webHidden/>
          </w:rPr>
          <w:fldChar w:fldCharType="end"/>
        </w:r>
      </w:hyperlink>
    </w:p>
    <w:p w14:paraId="362F70C3" w14:textId="41E02C29" w:rsidR="0044642B" w:rsidRPr="00512BE3" w:rsidRDefault="001538CB">
      <w:pPr>
        <w:pStyle w:val="TOC2"/>
        <w:rPr>
          <w:rFonts w:asciiTheme="minorHAnsi" w:eastAsiaTheme="minorEastAsia" w:hAnsiTheme="minorHAnsi" w:cstheme="minorBidi"/>
          <w:i/>
          <w:noProof/>
          <w:sz w:val="22"/>
          <w:szCs w:val="22"/>
          <w:lang w:val="sr-Latn-BA" w:eastAsia="sr-Latn-BA"/>
        </w:rPr>
      </w:pPr>
      <w:hyperlink w:anchor="_Toc95294149" w:history="1">
        <w:r w:rsidR="0044642B" w:rsidRPr="00512BE3">
          <w:rPr>
            <w:rStyle w:val="Hyperlink"/>
            <w:i/>
            <w:noProof/>
            <w:lang w:val="hr-BA"/>
          </w:rPr>
          <w:t>4.1</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i/>
            <w:noProof/>
            <w:lang w:val="hr-BA"/>
          </w:rPr>
          <w:t>Stanje oduzete robe u Centralnom skladištu i u regionalnim centrima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_Toc95294149 \h </w:instrText>
        </w:r>
        <w:r w:rsidR="0044642B" w:rsidRPr="00512BE3">
          <w:rPr>
            <w:i/>
            <w:noProof/>
            <w:webHidden/>
          </w:rPr>
        </w:r>
        <w:r w:rsidR="0044642B" w:rsidRPr="00512BE3">
          <w:rPr>
            <w:i/>
            <w:noProof/>
            <w:webHidden/>
          </w:rPr>
          <w:fldChar w:fldCharType="separate"/>
        </w:r>
        <w:r w:rsidR="004A2798">
          <w:rPr>
            <w:i/>
            <w:noProof/>
            <w:webHidden/>
          </w:rPr>
          <w:t>8</w:t>
        </w:r>
        <w:r w:rsidR="0044642B" w:rsidRPr="00512BE3">
          <w:rPr>
            <w:i/>
            <w:noProof/>
            <w:webHidden/>
          </w:rPr>
          <w:fldChar w:fldCharType="end"/>
        </w:r>
      </w:hyperlink>
    </w:p>
    <w:p w14:paraId="5505B411" w14:textId="4EEBBF5C" w:rsidR="0044642B" w:rsidRPr="00512BE3" w:rsidRDefault="001538CB">
      <w:pPr>
        <w:pStyle w:val="TOC1"/>
        <w:rPr>
          <w:rFonts w:asciiTheme="minorHAnsi" w:eastAsiaTheme="minorEastAsia" w:hAnsiTheme="minorHAnsi" w:cstheme="minorBidi"/>
          <w:i/>
          <w:sz w:val="22"/>
          <w:lang w:val="sr-Latn-BA" w:eastAsia="sr-Latn-BA"/>
        </w:rPr>
      </w:pPr>
      <w:hyperlink w:anchor="_Toc95294150" w:history="1">
        <w:r w:rsidR="0044642B" w:rsidRPr="00512BE3">
          <w:rPr>
            <w:rStyle w:val="Hyperlink"/>
            <w:i/>
          </w:rPr>
          <w:t>5</w:t>
        </w:r>
        <w:r w:rsidR="0044642B" w:rsidRPr="00512BE3">
          <w:rPr>
            <w:rFonts w:asciiTheme="minorHAnsi" w:eastAsiaTheme="minorEastAsia" w:hAnsiTheme="minorHAnsi" w:cstheme="minorBidi"/>
            <w:i/>
            <w:sz w:val="22"/>
            <w:lang w:val="sr-Latn-BA" w:eastAsia="sr-Latn-BA"/>
          </w:rPr>
          <w:tab/>
        </w:r>
        <w:r w:rsidR="0044642B" w:rsidRPr="00512BE3">
          <w:rPr>
            <w:rStyle w:val="Hyperlink"/>
            <w:i/>
          </w:rPr>
          <w:t>KONTROLNE AKTIVNOSTI</w:t>
        </w:r>
        <w:r w:rsidR="0044642B" w:rsidRPr="00512BE3">
          <w:rPr>
            <w:i/>
            <w:webHidden/>
          </w:rPr>
          <w:tab/>
        </w:r>
        <w:r w:rsidR="0044642B" w:rsidRPr="00512BE3">
          <w:rPr>
            <w:i/>
            <w:webHidden/>
          </w:rPr>
          <w:fldChar w:fldCharType="begin"/>
        </w:r>
        <w:r w:rsidR="0044642B" w:rsidRPr="00512BE3">
          <w:rPr>
            <w:i/>
            <w:webHidden/>
          </w:rPr>
          <w:instrText xml:space="preserve"> PAGEREF _Toc95294150 \h </w:instrText>
        </w:r>
        <w:r w:rsidR="0044642B" w:rsidRPr="00512BE3">
          <w:rPr>
            <w:i/>
            <w:webHidden/>
          </w:rPr>
        </w:r>
        <w:r w:rsidR="0044642B" w:rsidRPr="00512BE3">
          <w:rPr>
            <w:i/>
            <w:webHidden/>
          </w:rPr>
          <w:fldChar w:fldCharType="separate"/>
        </w:r>
        <w:r w:rsidR="004A2798">
          <w:rPr>
            <w:i/>
            <w:webHidden/>
          </w:rPr>
          <w:t>9</w:t>
        </w:r>
        <w:r w:rsidR="0044642B" w:rsidRPr="00512BE3">
          <w:rPr>
            <w:i/>
            <w:webHidden/>
          </w:rPr>
          <w:fldChar w:fldCharType="end"/>
        </w:r>
      </w:hyperlink>
    </w:p>
    <w:p w14:paraId="56D9D81A" w14:textId="6AC1B924" w:rsidR="0044642B" w:rsidRPr="00512BE3" w:rsidRDefault="001538CB">
      <w:pPr>
        <w:pStyle w:val="TOC2"/>
        <w:rPr>
          <w:rFonts w:asciiTheme="minorHAnsi" w:eastAsiaTheme="minorEastAsia" w:hAnsiTheme="minorHAnsi" w:cstheme="minorBidi"/>
          <w:i/>
          <w:noProof/>
          <w:sz w:val="22"/>
          <w:szCs w:val="22"/>
          <w:lang w:val="sr-Latn-BA" w:eastAsia="sr-Latn-BA"/>
        </w:rPr>
      </w:pPr>
      <w:hyperlink w:anchor="_Toc95294151" w:history="1">
        <w:r w:rsidR="0044642B" w:rsidRPr="00512BE3">
          <w:rPr>
            <w:rStyle w:val="Hyperlink"/>
            <w:i/>
            <w:noProof/>
          </w:rPr>
          <w:t>5.1</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i/>
            <w:noProof/>
          </w:rPr>
          <w:t>Analiza rizika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_Toc95294151 \h </w:instrText>
        </w:r>
        <w:r w:rsidR="0044642B" w:rsidRPr="00512BE3">
          <w:rPr>
            <w:i/>
            <w:noProof/>
            <w:webHidden/>
          </w:rPr>
        </w:r>
        <w:r w:rsidR="0044642B" w:rsidRPr="00512BE3">
          <w:rPr>
            <w:i/>
            <w:noProof/>
            <w:webHidden/>
          </w:rPr>
          <w:fldChar w:fldCharType="separate"/>
        </w:r>
        <w:r w:rsidR="004A2798">
          <w:rPr>
            <w:i/>
            <w:noProof/>
            <w:webHidden/>
          </w:rPr>
          <w:t>9</w:t>
        </w:r>
        <w:r w:rsidR="0044642B" w:rsidRPr="00512BE3">
          <w:rPr>
            <w:i/>
            <w:noProof/>
            <w:webHidden/>
          </w:rPr>
          <w:fldChar w:fldCharType="end"/>
        </w:r>
      </w:hyperlink>
    </w:p>
    <w:p w14:paraId="7E4434CF" w14:textId="07E70B30" w:rsidR="0044642B" w:rsidRPr="00512BE3" w:rsidRDefault="001538CB">
      <w:pPr>
        <w:pStyle w:val="TOC2"/>
        <w:rPr>
          <w:rFonts w:asciiTheme="minorHAnsi" w:eastAsiaTheme="minorEastAsia" w:hAnsiTheme="minorHAnsi" w:cstheme="minorBidi"/>
          <w:i/>
          <w:noProof/>
          <w:sz w:val="22"/>
          <w:szCs w:val="22"/>
          <w:lang w:val="sr-Latn-BA" w:eastAsia="sr-Latn-BA"/>
        </w:rPr>
      </w:pPr>
      <w:hyperlink w:anchor="_Toc95294152" w:history="1">
        <w:r w:rsidR="0044642B" w:rsidRPr="00512BE3">
          <w:rPr>
            <w:rStyle w:val="Hyperlink"/>
            <w:i/>
            <w:noProof/>
            <w:lang w:val="bs-Latn-BA"/>
          </w:rPr>
          <w:t>5.2</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i/>
            <w:noProof/>
            <w:lang w:val="sr-Latn-CS"/>
          </w:rPr>
          <w:t>Carinska kontrola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_Toc95294152 \h </w:instrText>
        </w:r>
        <w:r w:rsidR="0044642B" w:rsidRPr="00512BE3">
          <w:rPr>
            <w:i/>
            <w:noProof/>
            <w:webHidden/>
          </w:rPr>
        </w:r>
        <w:r w:rsidR="0044642B" w:rsidRPr="00512BE3">
          <w:rPr>
            <w:i/>
            <w:noProof/>
            <w:webHidden/>
          </w:rPr>
          <w:fldChar w:fldCharType="separate"/>
        </w:r>
        <w:r w:rsidR="004A2798">
          <w:rPr>
            <w:i/>
            <w:noProof/>
            <w:webHidden/>
          </w:rPr>
          <w:t>11</w:t>
        </w:r>
        <w:r w:rsidR="0044642B" w:rsidRPr="00512BE3">
          <w:rPr>
            <w:i/>
            <w:noProof/>
            <w:webHidden/>
          </w:rPr>
          <w:fldChar w:fldCharType="end"/>
        </w:r>
      </w:hyperlink>
    </w:p>
    <w:p w14:paraId="19AAE176" w14:textId="63ED60FA" w:rsidR="0044642B" w:rsidRPr="00512BE3" w:rsidRDefault="001538CB">
      <w:pPr>
        <w:pStyle w:val="TOC2"/>
        <w:rPr>
          <w:rFonts w:asciiTheme="minorHAnsi" w:eastAsiaTheme="minorEastAsia" w:hAnsiTheme="minorHAnsi" w:cstheme="minorBidi"/>
          <w:i/>
          <w:noProof/>
          <w:sz w:val="22"/>
          <w:szCs w:val="22"/>
          <w:lang w:val="sr-Latn-BA" w:eastAsia="sr-Latn-BA"/>
        </w:rPr>
      </w:pPr>
      <w:hyperlink w:anchor="_Toc95294153" w:history="1">
        <w:r w:rsidR="0044642B" w:rsidRPr="00512BE3">
          <w:rPr>
            <w:rStyle w:val="Hyperlink"/>
            <w:rFonts w:eastAsia="Calibri"/>
            <w:i/>
            <w:noProof/>
            <w:lang w:eastAsia="en-US"/>
          </w:rPr>
          <w:t>5.3</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rFonts w:eastAsia="Calibri"/>
            <w:i/>
            <w:noProof/>
            <w:lang w:eastAsia="en-US"/>
          </w:rPr>
          <w:t>Poreska kontrola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_Toc95294153 \h </w:instrText>
        </w:r>
        <w:r w:rsidR="0044642B" w:rsidRPr="00512BE3">
          <w:rPr>
            <w:i/>
            <w:noProof/>
            <w:webHidden/>
          </w:rPr>
        </w:r>
        <w:r w:rsidR="0044642B" w:rsidRPr="00512BE3">
          <w:rPr>
            <w:i/>
            <w:noProof/>
            <w:webHidden/>
          </w:rPr>
          <w:fldChar w:fldCharType="separate"/>
        </w:r>
        <w:r w:rsidR="004A2798">
          <w:rPr>
            <w:i/>
            <w:noProof/>
            <w:webHidden/>
          </w:rPr>
          <w:t>12</w:t>
        </w:r>
        <w:r w:rsidR="0044642B" w:rsidRPr="00512BE3">
          <w:rPr>
            <w:i/>
            <w:noProof/>
            <w:webHidden/>
          </w:rPr>
          <w:fldChar w:fldCharType="end"/>
        </w:r>
      </w:hyperlink>
    </w:p>
    <w:p w14:paraId="4B9833DF" w14:textId="4C4255E6" w:rsidR="0044642B" w:rsidRPr="00512BE3" w:rsidRDefault="001538CB">
      <w:pPr>
        <w:pStyle w:val="TOC3"/>
        <w:rPr>
          <w:rFonts w:asciiTheme="minorHAnsi" w:eastAsiaTheme="minorEastAsia" w:hAnsiTheme="minorHAnsi" w:cstheme="minorBidi"/>
          <w:i/>
          <w:noProof/>
          <w:sz w:val="22"/>
          <w:szCs w:val="22"/>
          <w:lang w:val="sr-Latn-BA" w:eastAsia="sr-Latn-BA"/>
        </w:rPr>
      </w:pPr>
      <w:hyperlink w:anchor="_Toc95294154" w:history="1">
        <w:r w:rsidR="0044642B" w:rsidRPr="00512BE3">
          <w:rPr>
            <w:rStyle w:val="Hyperlink"/>
            <w:i/>
            <w:noProof/>
          </w:rPr>
          <w:t>5.3.1</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i/>
            <w:noProof/>
          </w:rPr>
          <w:t>Revizija i kontrola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_Toc95294154 \h </w:instrText>
        </w:r>
        <w:r w:rsidR="0044642B" w:rsidRPr="00512BE3">
          <w:rPr>
            <w:i/>
            <w:noProof/>
            <w:webHidden/>
          </w:rPr>
        </w:r>
        <w:r w:rsidR="0044642B" w:rsidRPr="00512BE3">
          <w:rPr>
            <w:i/>
            <w:noProof/>
            <w:webHidden/>
          </w:rPr>
          <w:fldChar w:fldCharType="separate"/>
        </w:r>
        <w:r w:rsidR="004A2798">
          <w:rPr>
            <w:i/>
            <w:noProof/>
            <w:webHidden/>
          </w:rPr>
          <w:t>12</w:t>
        </w:r>
        <w:r w:rsidR="0044642B" w:rsidRPr="00512BE3">
          <w:rPr>
            <w:i/>
            <w:noProof/>
            <w:webHidden/>
          </w:rPr>
          <w:fldChar w:fldCharType="end"/>
        </w:r>
      </w:hyperlink>
    </w:p>
    <w:p w14:paraId="290AE135" w14:textId="45BAB7C5" w:rsidR="0044642B" w:rsidRPr="00512BE3" w:rsidRDefault="001538CB">
      <w:pPr>
        <w:pStyle w:val="TOC3"/>
        <w:rPr>
          <w:rFonts w:asciiTheme="minorHAnsi" w:eastAsiaTheme="minorEastAsia" w:hAnsiTheme="minorHAnsi" w:cstheme="minorBidi"/>
          <w:i/>
          <w:noProof/>
          <w:sz w:val="22"/>
          <w:szCs w:val="22"/>
          <w:lang w:val="sr-Latn-BA" w:eastAsia="sr-Latn-BA"/>
        </w:rPr>
      </w:pPr>
      <w:hyperlink w:anchor="_Toc95294155" w:history="1">
        <w:r w:rsidR="0044642B" w:rsidRPr="00512BE3">
          <w:rPr>
            <w:rStyle w:val="Hyperlink"/>
            <w:i/>
            <w:noProof/>
            <w:lang w:val="sr-Latn-BA"/>
          </w:rPr>
          <w:t>5.3.2</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i/>
            <w:noProof/>
            <w:lang w:val="sr-Latn-BA"/>
          </w:rPr>
          <w:t>Kontrola velikih poreskih obveznika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_Toc95294155 \h </w:instrText>
        </w:r>
        <w:r w:rsidR="0044642B" w:rsidRPr="00512BE3">
          <w:rPr>
            <w:i/>
            <w:noProof/>
            <w:webHidden/>
          </w:rPr>
        </w:r>
        <w:r w:rsidR="0044642B" w:rsidRPr="00512BE3">
          <w:rPr>
            <w:i/>
            <w:noProof/>
            <w:webHidden/>
          </w:rPr>
          <w:fldChar w:fldCharType="separate"/>
        </w:r>
        <w:r w:rsidR="004A2798">
          <w:rPr>
            <w:i/>
            <w:noProof/>
            <w:webHidden/>
          </w:rPr>
          <w:t>13</w:t>
        </w:r>
        <w:r w:rsidR="0044642B" w:rsidRPr="00512BE3">
          <w:rPr>
            <w:i/>
            <w:noProof/>
            <w:webHidden/>
          </w:rPr>
          <w:fldChar w:fldCharType="end"/>
        </w:r>
      </w:hyperlink>
    </w:p>
    <w:p w14:paraId="216E7703" w14:textId="627E19E9" w:rsidR="0044642B" w:rsidRPr="00512BE3" w:rsidRDefault="001538CB">
      <w:pPr>
        <w:pStyle w:val="TOC2"/>
        <w:rPr>
          <w:rFonts w:asciiTheme="minorHAnsi" w:eastAsiaTheme="minorEastAsia" w:hAnsiTheme="minorHAnsi" w:cstheme="minorBidi"/>
          <w:i/>
          <w:noProof/>
          <w:sz w:val="22"/>
          <w:szCs w:val="22"/>
          <w:lang w:val="sr-Latn-BA" w:eastAsia="sr-Latn-BA"/>
        </w:rPr>
      </w:pPr>
      <w:hyperlink w:anchor="_Toc95294156" w:history="1">
        <w:r w:rsidR="0044642B" w:rsidRPr="00512BE3">
          <w:rPr>
            <w:rStyle w:val="Hyperlink"/>
            <w:i/>
            <w:noProof/>
            <w:lang w:val="sr-Latn-BA"/>
          </w:rPr>
          <w:t>5.4</w:t>
        </w:r>
        <w:r w:rsidR="0044642B" w:rsidRPr="00512BE3">
          <w:rPr>
            <w:rFonts w:asciiTheme="minorHAnsi" w:eastAsiaTheme="minorEastAsia" w:hAnsiTheme="minorHAnsi" w:cstheme="minorBidi"/>
            <w:i/>
            <w:noProof/>
            <w:sz w:val="22"/>
            <w:szCs w:val="22"/>
            <w:lang w:val="sr-Latn-BA" w:eastAsia="sr-Latn-BA"/>
          </w:rPr>
          <w:tab/>
        </w:r>
        <w:r w:rsidR="0044642B" w:rsidRPr="00512BE3">
          <w:rPr>
            <w:rStyle w:val="Hyperlink"/>
            <w:i/>
            <w:noProof/>
            <w:lang w:val="sr-Latn-BA"/>
          </w:rPr>
          <w:t>Suzbijanje krivičnih djela i prekršaja</w:t>
        </w:r>
        <w:r w:rsidR="0044642B" w:rsidRPr="00512BE3">
          <w:rPr>
            <w:i/>
            <w:noProof/>
            <w:webHidden/>
          </w:rPr>
          <w:tab/>
        </w:r>
        <w:r w:rsidR="0044642B" w:rsidRPr="00512BE3">
          <w:rPr>
            <w:i/>
            <w:noProof/>
            <w:webHidden/>
          </w:rPr>
          <w:fldChar w:fldCharType="begin"/>
        </w:r>
        <w:r w:rsidR="0044642B" w:rsidRPr="00512BE3">
          <w:rPr>
            <w:i/>
            <w:noProof/>
            <w:webHidden/>
          </w:rPr>
          <w:instrText xml:space="preserve"> PAGEREF _Toc95294156 \h </w:instrText>
        </w:r>
        <w:r w:rsidR="0044642B" w:rsidRPr="00512BE3">
          <w:rPr>
            <w:i/>
            <w:noProof/>
            <w:webHidden/>
          </w:rPr>
        </w:r>
        <w:r w:rsidR="0044642B" w:rsidRPr="00512BE3">
          <w:rPr>
            <w:i/>
            <w:noProof/>
            <w:webHidden/>
          </w:rPr>
          <w:fldChar w:fldCharType="separate"/>
        </w:r>
        <w:r w:rsidR="004A2798">
          <w:rPr>
            <w:i/>
            <w:noProof/>
            <w:webHidden/>
          </w:rPr>
          <w:t>15</w:t>
        </w:r>
        <w:r w:rsidR="0044642B" w:rsidRPr="00512BE3">
          <w:rPr>
            <w:i/>
            <w:noProof/>
            <w:webHidden/>
          </w:rPr>
          <w:fldChar w:fldCharType="end"/>
        </w:r>
      </w:hyperlink>
    </w:p>
    <w:p w14:paraId="25D86FE1" w14:textId="2C801CBD" w:rsidR="0044642B" w:rsidRPr="00512BE3" w:rsidRDefault="001538CB">
      <w:pPr>
        <w:pStyle w:val="TOC1"/>
        <w:rPr>
          <w:rFonts w:asciiTheme="minorHAnsi" w:eastAsiaTheme="minorEastAsia" w:hAnsiTheme="minorHAnsi" w:cstheme="minorBidi"/>
          <w:i/>
          <w:sz w:val="22"/>
          <w:lang w:val="sr-Latn-BA" w:eastAsia="sr-Latn-BA"/>
        </w:rPr>
      </w:pPr>
      <w:hyperlink w:anchor="_Toc95294157" w:history="1">
        <w:r w:rsidR="0044642B" w:rsidRPr="00512BE3">
          <w:rPr>
            <w:rStyle w:val="Hyperlink"/>
            <w:i/>
            <w:lang w:val="bs-Latn-BA"/>
          </w:rPr>
          <w:t>6</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bs-Latn-BA"/>
          </w:rPr>
          <w:t>PORESKI POSTUPAK</w:t>
        </w:r>
        <w:r w:rsidR="0044642B" w:rsidRPr="00512BE3">
          <w:rPr>
            <w:i/>
            <w:webHidden/>
          </w:rPr>
          <w:tab/>
        </w:r>
        <w:r w:rsidR="0044642B" w:rsidRPr="00512BE3">
          <w:rPr>
            <w:i/>
            <w:webHidden/>
          </w:rPr>
          <w:fldChar w:fldCharType="begin"/>
        </w:r>
        <w:r w:rsidR="0044642B" w:rsidRPr="00512BE3">
          <w:rPr>
            <w:i/>
            <w:webHidden/>
          </w:rPr>
          <w:instrText xml:space="preserve"> PAGEREF _Toc95294157 \h </w:instrText>
        </w:r>
        <w:r w:rsidR="0044642B" w:rsidRPr="00512BE3">
          <w:rPr>
            <w:i/>
            <w:webHidden/>
          </w:rPr>
        </w:r>
        <w:r w:rsidR="0044642B" w:rsidRPr="00512BE3">
          <w:rPr>
            <w:i/>
            <w:webHidden/>
          </w:rPr>
          <w:fldChar w:fldCharType="separate"/>
        </w:r>
        <w:r w:rsidR="004A2798">
          <w:rPr>
            <w:i/>
            <w:webHidden/>
          </w:rPr>
          <w:t>19</w:t>
        </w:r>
        <w:r w:rsidR="0044642B" w:rsidRPr="00512BE3">
          <w:rPr>
            <w:i/>
            <w:webHidden/>
          </w:rPr>
          <w:fldChar w:fldCharType="end"/>
        </w:r>
      </w:hyperlink>
    </w:p>
    <w:p w14:paraId="7B48D0A5" w14:textId="7CFEEDC4" w:rsidR="0044642B" w:rsidRPr="00512BE3" w:rsidRDefault="001538CB">
      <w:pPr>
        <w:pStyle w:val="TOC1"/>
        <w:rPr>
          <w:rFonts w:asciiTheme="minorHAnsi" w:eastAsiaTheme="minorEastAsia" w:hAnsiTheme="minorHAnsi" w:cstheme="minorBidi"/>
          <w:i/>
          <w:sz w:val="22"/>
          <w:lang w:val="sr-Latn-BA" w:eastAsia="sr-Latn-BA"/>
        </w:rPr>
      </w:pPr>
      <w:hyperlink w:anchor="_Toc95294158" w:history="1">
        <w:r w:rsidR="0044642B" w:rsidRPr="00512BE3">
          <w:rPr>
            <w:rStyle w:val="Hyperlink"/>
            <w:i/>
            <w:lang w:val="bs-Latn-BA"/>
          </w:rPr>
          <w:t>7</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bs-Latn-BA"/>
          </w:rPr>
          <w:t>CARINSKI POSTUPAK</w:t>
        </w:r>
        <w:r w:rsidR="0044642B" w:rsidRPr="00512BE3">
          <w:rPr>
            <w:i/>
            <w:webHidden/>
          </w:rPr>
          <w:tab/>
        </w:r>
        <w:r w:rsidR="0044642B" w:rsidRPr="00512BE3">
          <w:rPr>
            <w:i/>
            <w:webHidden/>
          </w:rPr>
          <w:fldChar w:fldCharType="begin"/>
        </w:r>
        <w:r w:rsidR="0044642B" w:rsidRPr="00512BE3">
          <w:rPr>
            <w:i/>
            <w:webHidden/>
          </w:rPr>
          <w:instrText xml:space="preserve"> PAGEREF _Toc95294158 \h </w:instrText>
        </w:r>
        <w:r w:rsidR="0044642B" w:rsidRPr="00512BE3">
          <w:rPr>
            <w:i/>
            <w:webHidden/>
          </w:rPr>
        </w:r>
        <w:r w:rsidR="0044642B" w:rsidRPr="00512BE3">
          <w:rPr>
            <w:i/>
            <w:webHidden/>
          </w:rPr>
          <w:fldChar w:fldCharType="separate"/>
        </w:r>
        <w:r w:rsidR="004A2798">
          <w:rPr>
            <w:i/>
            <w:webHidden/>
          </w:rPr>
          <w:t>20</w:t>
        </w:r>
        <w:r w:rsidR="0044642B" w:rsidRPr="00512BE3">
          <w:rPr>
            <w:i/>
            <w:webHidden/>
          </w:rPr>
          <w:fldChar w:fldCharType="end"/>
        </w:r>
      </w:hyperlink>
    </w:p>
    <w:p w14:paraId="337935D7" w14:textId="6F51A463" w:rsidR="0044642B" w:rsidRPr="00512BE3" w:rsidRDefault="001538CB">
      <w:pPr>
        <w:pStyle w:val="TOC1"/>
        <w:rPr>
          <w:rFonts w:asciiTheme="minorHAnsi" w:eastAsiaTheme="minorEastAsia" w:hAnsiTheme="minorHAnsi" w:cstheme="minorBidi"/>
          <w:i/>
          <w:sz w:val="22"/>
          <w:lang w:val="sr-Latn-BA" w:eastAsia="sr-Latn-BA"/>
        </w:rPr>
      </w:pPr>
      <w:hyperlink w:anchor="_Toc95294159" w:history="1">
        <w:r w:rsidR="0044642B" w:rsidRPr="00512BE3">
          <w:rPr>
            <w:rStyle w:val="Hyperlink"/>
            <w:i/>
            <w:lang w:val="bs-Latn-BA"/>
          </w:rPr>
          <w:t>8</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bs-Latn-BA"/>
          </w:rPr>
          <w:t>DRUGOSTEPENI UPRAVNI POSTUPAK</w:t>
        </w:r>
        <w:r w:rsidR="0044642B" w:rsidRPr="00512BE3">
          <w:rPr>
            <w:i/>
            <w:webHidden/>
          </w:rPr>
          <w:tab/>
        </w:r>
        <w:r w:rsidR="0044642B" w:rsidRPr="00512BE3">
          <w:rPr>
            <w:i/>
            <w:webHidden/>
          </w:rPr>
          <w:fldChar w:fldCharType="begin"/>
        </w:r>
        <w:r w:rsidR="0044642B" w:rsidRPr="00512BE3">
          <w:rPr>
            <w:i/>
            <w:webHidden/>
          </w:rPr>
          <w:instrText xml:space="preserve"> PAGEREF _Toc95294159 \h </w:instrText>
        </w:r>
        <w:r w:rsidR="0044642B" w:rsidRPr="00512BE3">
          <w:rPr>
            <w:i/>
            <w:webHidden/>
          </w:rPr>
        </w:r>
        <w:r w:rsidR="0044642B" w:rsidRPr="00512BE3">
          <w:rPr>
            <w:i/>
            <w:webHidden/>
          </w:rPr>
          <w:fldChar w:fldCharType="separate"/>
        </w:r>
        <w:r w:rsidR="004A2798">
          <w:rPr>
            <w:i/>
            <w:webHidden/>
          </w:rPr>
          <w:t>23</w:t>
        </w:r>
        <w:r w:rsidR="0044642B" w:rsidRPr="00512BE3">
          <w:rPr>
            <w:i/>
            <w:webHidden/>
          </w:rPr>
          <w:fldChar w:fldCharType="end"/>
        </w:r>
      </w:hyperlink>
    </w:p>
    <w:p w14:paraId="4C134229" w14:textId="1B421210" w:rsidR="0044642B" w:rsidRPr="00512BE3" w:rsidRDefault="001538CB">
      <w:pPr>
        <w:pStyle w:val="TOC1"/>
        <w:rPr>
          <w:rFonts w:asciiTheme="minorHAnsi" w:eastAsiaTheme="minorEastAsia" w:hAnsiTheme="minorHAnsi" w:cstheme="minorBidi"/>
          <w:i/>
          <w:sz w:val="22"/>
          <w:lang w:val="sr-Latn-BA" w:eastAsia="sr-Latn-BA"/>
        </w:rPr>
      </w:pPr>
      <w:hyperlink w:anchor="_Toc95294160" w:history="1">
        <w:r w:rsidR="0044642B" w:rsidRPr="00512BE3">
          <w:rPr>
            <w:rStyle w:val="Hyperlink"/>
            <w:i/>
            <w:lang w:val="sr-Latn-BA"/>
          </w:rPr>
          <w:t>9</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sr-Latn-BA"/>
          </w:rPr>
          <w:t>INFORMACIONE TEHNOLOGIJE</w:t>
        </w:r>
        <w:r w:rsidR="0044642B" w:rsidRPr="00512BE3">
          <w:rPr>
            <w:i/>
            <w:webHidden/>
          </w:rPr>
          <w:tab/>
        </w:r>
        <w:r w:rsidR="0044642B" w:rsidRPr="00512BE3">
          <w:rPr>
            <w:i/>
            <w:webHidden/>
          </w:rPr>
          <w:fldChar w:fldCharType="begin"/>
        </w:r>
        <w:r w:rsidR="0044642B" w:rsidRPr="00512BE3">
          <w:rPr>
            <w:i/>
            <w:webHidden/>
          </w:rPr>
          <w:instrText xml:space="preserve"> PAGEREF _Toc95294160 \h </w:instrText>
        </w:r>
        <w:r w:rsidR="0044642B" w:rsidRPr="00512BE3">
          <w:rPr>
            <w:i/>
            <w:webHidden/>
          </w:rPr>
        </w:r>
        <w:r w:rsidR="0044642B" w:rsidRPr="00512BE3">
          <w:rPr>
            <w:i/>
            <w:webHidden/>
          </w:rPr>
          <w:fldChar w:fldCharType="separate"/>
        </w:r>
        <w:r w:rsidR="004A2798">
          <w:rPr>
            <w:i/>
            <w:webHidden/>
          </w:rPr>
          <w:t>24</w:t>
        </w:r>
        <w:r w:rsidR="0044642B" w:rsidRPr="00512BE3">
          <w:rPr>
            <w:i/>
            <w:webHidden/>
          </w:rPr>
          <w:fldChar w:fldCharType="end"/>
        </w:r>
      </w:hyperlink>
    </w:p>
    <w:p w14:paraId="19DDFC8F" w14:textId="4BD2A444" w:rsidR="0044642B" w:rsidRPr="00512BE3" w:rsidRDefault="001538CB">
      <w:pPr>
        <w:pStyle w:val="TOC1"/>
        <w:rPr>
          <w:rFonts w:asciiTheme="minorHAnsi" w:eastAsiaTheme="minorEastAsia" w:hAnsiTheme="minorHAnsi" w:cstheme="minorBidi"/>
          <w:i/>
          <w:sz w:val="22"/>
          <w:lang w:val="sr-Latn-BA" w:eastAsia="sr-Latn-BA"/>
        </w:rPr>
      </w:pPr>
      <w:hyperlink w:anchor="_Toc95294161" w:history="1">
        <w:r w:rsidR="0044642B" w:rsidRPr="00512BE3">
          <w:rPr>
            <w:rStyle w:val="Hyperlink"/>
            <w:i/>
            <w:lang w:val="bs-Latn-BA" w:eastAsia="sr-Latn-CS"/>
          </w:rPr>
          <w:t>10</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bs-Latn-BA" w:eastAsia="sr-Latn-CS"/>
          </w:rPr>
          <w:t>INTERNA REVIZIJA</w:t>
        </w:r>
        <w:r w:rsidR="0044642B" w:rsidRPr="00512BE3">
          <w:rPr>
            <w:i/>
            <w:webHidden/>
          </w:rPr>
          <w:tab/>
        </w:r>
        <w:r w:rsidR="0044642B" w:rsidRPr="00512BE3">
          <w:rPr>
            <w:i/>
            <w:webHidden/>
          </w:rPr>
          <w:fldChar w:fldCharType="begin"/>
        </w:r>
        <w:r w:rsidR="0044642B" w:rsidRPr="00512BE3">
          <w:rPr>
            <w:i/>
            <w:webHidden/>
          </w:rPr>
          <w:instrText xml:space="preserve"> PAGEREF _Toc95294161 \h </w:instrText>
        </w:r>
        <w:r w:rsidR="0044642B" w:rsidRPr="00512BE3">
          <w:rPr>
            <w:i/>
            <w:webHidden/>
          </w:rPr>
        </w:r>
        <w:r w:rsidR="0044642B" w:rsidRPr="00512BE3">
          <w:rPr>
            <w:i/>
            <w:webHidden/>
          </w:rPr>
          <w:fldChar w:fldCharType="separate"/>
        </w:r>
        <w:r w:rsidR="004A2798">
          <w:rPr>
            <w:i/>
            <w:webHidden/>
          </w:rPr>
          <w:t>25</w:t>
        </w:r>
        <w:r w:rsidR="0044642B" w:rsidRPr="00512BE3">
          <w:rPr>
            <w:i/>
            <w:webHidden/>
          </w:rPr>
          <w:fldChar w:fldCharType="end"/>
        </w:r>
      </w:hyperlink>
    </w:p>
    <w:p w14:paraId="742EAF5F" w14:textId="474D56D4" w:rsidR="0044642B" w:rsidRPr="00512BE3" w:rsidRDefault="001538CB">
      <w:pPr>
        <w:pStyle w:val="TOC1"/>
        <w:rPr>
          <w:rFonts w:asciiTheme="minorHAnsi" w:eastAsiaTheme="minorEastAsia" w:hAnsiTheme="minorHAnsi" w:cstheme="minorBidi"/>
          <w:i/>
          <w:sz w:val="22"/>
          <w:lang w:val="sr-Latn-BA" w:eastAsia="sr-Latn-BA"/>
        </w:rPr>
      </w:pPr>
      <w:hyperlink w:anchor="_Toc95294162" w:history="1">
        <w:r w:rsidR="0044642B" w:rsidRPr="00512BE3">
          <w:rPr>
            <w:rStyle w:val="Hyperlink"/>
            <w:i/>
          </w:rPr>
          <w:t>11</w:t>
        </w:r>
        <w:r w:rsidR="0044642B" w:rsidRPr="00512BE3">
          <w:rPr>
            <w:rFonts w:asciiTheme="minorHAnsi" w:eastAsiaTheme="minorEastAsia" w:hAnsiTheme="minorHAnsi" w:cstheme="minorBidi"/>
            <w:i/>
            <w:sz w:val="22"/>
            <w:lang w:val="sr-Latn-BA" w:eastAsia="sr-Latn-BA"/>
          </w:rPr>
          <w:tab/>
        </w:r>
        <w:r w:rsidR="0044642B" w:rsidRPr="00512BE3">
          <w:rPr>
            <w:rStyle w:val="Hyperlink"/>
            <w:i/>
          </w:rPr>
          <w:t>NORMATIVNE AKTIVNOSTI</w:t>
        </w:r>
        <w:r w:rsidR="0044642B" w:rsidRPr="00512BE3">
          <w:rPr>
            <w:i/>
            <w:webHidden/>
          </w:rPr>
          <w:tab/>
        </w:r>
        <w:r w:rsidR="0044642B" w:rsidRPr="00512BE3">
          <w:rPr>
            <w:i/>
            <w:webHidden/>
          </w:rPr>
          <w:fldChar w:fldCharType="begin"/>
        </w:r>
        <w:r w:rsidR="0044642B" w:rsidRPr="00512BE3">
          <w:rPr>
            <w:i/>
            <w:webHidden/>
          </w:rPr>
          <w:instrText xml:space="preserve"> PAGEREF _Toc95294162 \h </w:instrText>
        </w:r>
        <w:r w:rsidR="0044642B" w:rsidRPr="00512BE3">
          <w:rPr>
            <w:i/>
            <w:webHidden/>
          </w:rPr>
        </w:r>
        <w:r w:rsidR="0044642B" w:rsidRPr="00512BE3">
          <w:rPr>
            <w:i/>
            <w:webHidden/>
          </w:rPr>
          <w:fldChar w:fldCharType="separate"/>
        </w:r>
        <w:r w:rsidR="004A2798">
          <w:rPr>
            <w:i/>
            <w:webHidden/>
          </w:rPr>
          <w:t>25</w:t>
        </w:r>
        <w:r w:rsidR="0044642B" w:rsidRPr="00512BE3">
          <w:rPr>
            <w:i/>
            <w:webHidden/>
          </w:rPr>
          <w:fldChar w:fldCharType="end"/>
        </w:r>
      </w:hyperlink>
    </w:p>
    <w:p w14:paraId="3E0ABCE8" w14:textId="59947DA4" w:rsidR="0044642B" w:rsidRPr="00512BE3" w:rsidRDefault="001538CB">
      <w:pPr>
        <w:pStyle w:val="TOC1"/>
        <w:rPr>
          <w:rFonts w:asciiTheme="minorHAnsi" w:eastAsiaTheme="minorEastAsia" w:hAnsiTheme="minorHAnsi" w:cstheme="minorBidi"/>
          <w:i/>
          <w:sz w:val="22"/>
          <w:lang w:val="sr-Latn-BA" w:eastAsia="sr-Latn-BA"/>
        </w:rPr>
      </w:pPr>
      <w:hyperlink w:anchor="_Toc95294163" w:history="1">
        <w:r w:rsidR="0044642B" w:rsidRPr="00512BE3">
          <w:rPr>
            <w:rStyle w:val="Hyperlink"/>
            <w:i/>
            <w:lang w:val="bs-Latn-BA"/>
          </w:rPr>
          <w:t>12</w:t>
        </w:r>
        <w:r w:rsidR="0044642B" w:rsidRPr="00512BE3">
          <w:rPr>
            <w:rFonts w:asciiTheme="minorHAnsi" w:eastAsiaTheme="minorEastAsia" w:hAnsiTheme="minorHAnsi" w:cstheme="minorBidi"/>
            <w:i/>
            <w:sz w:val="22"/>
            <w:lang w:val="sr-Latn-BA" w:eastAsia="sr-Latn-BA"/>
          </w:rPr>
          <w:tab/>
        </w:r>
        <w:r w:rsidR="0044642B" w:rsidRPr="00512BE3">
          <w:rPr>
            <w:rStyle w:val="Hyperlink"/>
            <w:i/>
            <w:lang w:val="bs-Latn-BA"/>
          </w:rPr>
          <w:t>OSTALE AKTIVNOSTI</w:t>
        </w:r>
        <w:r w:rsidR="0044642B" w:rsidRPr="00512BE3">
          <w:rPr>
            <w:i/>
            <w:webHidden/>
          </w:rPr>
          <w:tab/>
        </w:r>
        <w:r w:rsidR="0044642B" w:rsidRPr="00512BE3">
          <w:rPr>
            <w:i/>
            <w:webHidden/>
          </w:rPr>
          <w:fldChar w:fldCharType="begin"/>
        </w:r>
        <w:r w:rsidR="0044642B" w:rsidRPr="00512BE3">
          <w:rPr>
            <w:i/>
            <w:webHidden/>
          </w:rPr>
          <w:instrText xml:space="preserve"> PAGEREF _Toc95294163 \h </w:instrText>
        </w:r>
        <w:r w:rsidR="0044642B" w:rsidRPr="00512BE3">
          <w:rPr>
            <w:i/>
            <w:webHidden/>
          </w:rPr>
        </w:r>
        <w:r w:rsidR="0044642B" w:rsidRPr="00512BE3">
          <w:rPr>
            <w:i/>
            <w:webHidden/>
          </w:rPr>
          <w:fldChar w:fldCharType="separate"/>
        </w:r>
        <w:r w:rsidR="004A2798">
          <w:rPr>
            <w:i/>
            <w:webHidden/>
          </w:rPr>
          <w:t>26</w:t>
        </w:r>
        <w:r w:rsidR="0044642B" w:rsidRPr="00512BE3">
          <w:rPr>
            <w:i/>
            <w:webHidden/>
          </w:rPr>
          <w:fldChar w:fldCharType="end"/>
        </w:r>
      </w:hyperlink>
    </w:p>
    <w:p w14:paraId="3CFDF19D" w14:textId="40F5FF32" w:rsidR="0044642B" w:rsidRPr="00512BE3" w:rsidRDefault="001538CB">
      <w:pPr>
        <w:pStyle w:val="TOC1"/>
        <w:rPr>
          <w:rFonts w:asciiTheme="minorHAnsi" w:eastAsiaTheme="minorEastAsia" w:hAnsiTheme="minorHAnsi" w:cstheme="minorBidi"/>
          <w:i/>
          <w:sz w:val="22"/>
          <w:lang w:val="sr-Latn-BA" w:eastAsia="sr-Latn-BA"/>
        </w:rPr>
      </w:pPr>
      <w:hyperlink w:anchor="_Toc95294164" w:history="1">
        <w:r w:rsidR="0044642B" w:rsidRPr="00512BE3">
          <w:rPr>
            <w:rStyle w:val="Hyperlink"/>
            <w:i/>
          </w:rPr>
          <w:t>13</w:t>
        </w:r>
        <w:r w:rsidR="0044642B" w:rsidRPr="00512BE3">
          <w:rPr>
            <w:rFonts w:asciiTheme="minorHAnsi" w:eastAsiaTheme="minorEastAsia" w:hAnsiTheme="minorHAnsi" w:cstheme="minorBidi"/>
            <w:i/>
            <w:sz w:val="22"/>
            <w:lang w:val="sr-Latn-BA" w:eastAsia="sr-Latn-BA"/>
          </w:rPr>
          <w:tab/>
        </w:r>
        <w:r w:rsidR="0044642B" w:rsidRPr="00512BE3">
          <w:rPr>
            <w:rStyle w:val="Hyperlink"/>
            <w:i/>
          </w:rPr>
          <w:t>REALIZACIJA ODOBRENIH BUDŽETSKIH SREDSTAVA</w:t>
        </w:r>
        <w:r w:rsidR="0044642B" w:rsidRPr="00512BE3">
          <w:rPr>
            <w:i/>
            <w:webHidden/>
          </w:rPr>
          <w:tab/>
        </w:r>
        <w:r w:rsidR="0044642B" w:rsidRPr="00512BE3">
          <w:rPr>
            <w:i/>
            <w:webHidden/>
          </w:rPr>
          <w:fldChar w:fldCharType="begin"/>
        </w:r>
        <w:r w:rsidR="0044642B" w:rsidRPr="00512BE3">
          <w:rPr>
            <w:i/>
            <w:webHidden/>
          </w:rPr>
          <w:instrText xml:space="preserve"> PAGEREF _Toc95294164 \h </w:instrText>
        </w:r>
        <w:r w:rsidR="0044642B" w:rsidRPr="00512BE3">
          <w:rPr>
            <w:i/>
            <w:webHidden/>
          </w:rPr>
        </w:r>
        <w:r w:rsidR="0044642B" w:rsidRPr="00512BE3">
          <w:rPr>
            <w:i/>
            <w:webHidden/>
          </w:rPr>
          <w:fldChar w:fldCharType="separate"/>
        </w:r>
        <w:r w:rsidR="004A2798">
          <w:rPr>
            <w:i/>
            <w:webHidden/>
          </w:rPr>
          <w:t>29</w:t>
        </w:r>
        <w:r w:rsidR="0044642B" w:rsidRPr="00512BE3">
          <w:rPr>
            <w:i/>
            <w:webHidden/>
          </w:rPr>
          <w:fldChar w:fldCharType="end"/>
        </w:r>
      </w:hyperlink>
    </w:p>
    <w:p w14:paraId="752AEC00" w14:textId="55876B6E" w:rsidR="0044642B" w:rsidRPr="00512BE3" w:rsidRDefault="001538CB">
      <w:pPr>
        <w:pStyle w:val="TOC1"/>
        <w:rPr>
          <w:rFonts w:asciiTheme="minorHAnsi" w:eastAsiaTheme="minorEastAsia" w:hAnsiTheme="minorHAnsi" w:cstheme="minorBidi"/>
          <w:i/>
          <w:sz w:val="22"/>
          <w:lang w:val="sr-Latn-BA" w:eastAsia="sr-Latn-BA"/>
        </w:rPr>
      </w:pPr>
      <w:hyperlink w:anchor="_Toc95294165" w:history="1">
        <w:r w:rsidR="0044642B" w:rsidRPr="00512BE3">
          <w:rPr>
            <w:rStyle w:val="Hyperlink"/>
            <w:i/>
          </w:rPr>
          <w:t>14</w:t>
        </w:r>
        <w:r w:rsidR="0044642B" w:rsidRPr="00512BE3">
          <w:rPr>
            <w:rFonts w:asciiTheme="minorHAnsi" w:eastAsiaTheme="minorEastAsia" w:hAnsiTheme="minorHAnsi" w:cstheme="minorBidi"/>
            <w:i/>
            <w:sz w:val="22"/>
            <w:lang w:val="sr-Latn-BA" w:eastAsia="sr-Latn-BA"/>
          </w:rPr>
          <w:tab/>
        </w:r>
        <w:r w:rsidR="0044642B" w:rsidRPr="00512BE3">
          <w:rPr>
            <w:rStyle w:val="Hyperlink"/>
            <w:i/>
          </w:rPr>
          <w:t>PROBLEMI U FUNKCIONISANJU UIO</w:t>
        </w:r>
        <w:r w:rsidR="0044642B" w:rsidRPr="00512BE3">
          <w:rPr>
            <w:i/>
            <w:webHidden/>
          </w:rPr>
          <w:tab/>
        </w:r>
        <w:r w:rsidR="0044642B" w:rsidRPr="00512BE3">
          <w:rPr>
            <w:i/>
            <w:webHidden/>
          </w:rPr>
          <w:fldChar w:fldCharType="begin"/>
        </w:r>
        <w:r w:rsidR="0044642B" w:rsidRPr="00512BE3">
          <w:rPr>
            <w:i/>
            <w:webHidden/>
          </w:rPr>
          <w:instrText xml:space="preserve"> PAGEREF _Toc95294165 \h </w:instrText>
        </w:r>
        <w:r w:rsidR="0044642B" w:rsidRPr="00512BE3">
          <w:rPr>
            <w:i/>
            <w:webHidden/>
          </w:rPr>
        </w:r>
        <w:r w:rsidR="0044642B" w:rsidRPr="00512BE3">
          <w:rPr>
            <w:i/>
            <w:webHidden/>
          </w:rPr>
          <w:fldChar w:fldCharType="separate"/>
        </w:r>
        <w:r w:rsidR="004A2798">
          <w:rPr>
            <w:i/>
            <w:webHidden/>
          </w:rPr>
          <w:t>31</w:t>
        </w:r>
        <w:r w:rsidR="0044642B" w:rsidRPr="00512BE3">
          <w:rPr>
            <w:i/>
            <w:webHidden/>
          </w:rPr>
          <w:fldChar w:fldCharType="end"/>
        </w:r>
      </w:hyperlink>
    </w:p>
    <w:p w14:paraId="0AAC9F49" w14:textId="77777777" w:rsidR="0004766A" w:rsidRPr="00512BE3" w:rsidRDefault="00E62618" w:rsidP="00E62618">
      <w:pPr>
        <w:rPr>
          <w:b/>
          <w:bCs/>
          <w:i/>
          <w:noProof/>
        </w:rPr>
      </w:pPr>
      <w:r w:rsidRPr="00512BE3">
        <w:rPr>
          <w:b/>
          <w:bCs/>
          <w:i/>
          <w:noProof/>
        </w:rPr>
        <w:fldChar w:fldCharType="end"/>
      </w:r>
    </w:p>
    <w:p w14:paraId="1B675A8F" w14:textId="77777777" w:rsidR="00E65C67" w:rsidRPr="00512BE3" w:rsidRDefault="00E65C67" w:rsidP="00F554FA">
      <w:pPr>
        <w:rPr>
          <w:i/>
          <w:sz w:val="20"/>
          <w:szCs w:val="20"/>
        </w:rPr>
      </w:pPr>
      <w:bookmarkStart w:id="0" w:name="_Toc499898737"/>
    </w:p>
    <w:p w14:paraId="6709EBC6" w14:textId="77777777" w:rsidR="00607A44" w:rsidRPr="00512BE3" w:rsidRDefault="00607A44" w:rsidP="00C538F0">
      <w:pPr>
        <w:rPr>
          <w:rFonts w:eastAsia="Calibri"/>
          <w:lang w:val="sv-SE" w:eastAsia="en-US"/>
        </w:rPr>
      </w:pPr>
    </w:p>
    <w:p w14:paraId="02A7043E" w14:textId="77777777" w:rsidR="00607A44" w:rsidRPr="00512BE3" w:rsidRDefault="00607A44" w:rsidP="00C538F0">
      <w:pPr>
        <w:rPr>
          <w:rFonts w:eastAsia="Calibri"/>
          <w:lang w:val="sv-SE" w:eastAsia="en-US"/>
        </w:rPr>
      </w:pPr>
    </w:p>
    <w:p w14:paraId="5C5A74EC" w14:textId="77777777" w:rsidR="00A81E8C" w:rsidRPr="00512BE3" w:rsidRDefault="00A81E8C" w:rsidP="00C538F0">
      <w:pPr>
        <w:rPr>
          <w:rFonts w:eastAsia="Calibri"/>
          <w:lang w:val="sv-SE" w:eastAsia="en-US"/>
        </w:rPr>
      </w:pPr>
    </w:p>
    <w:p w14:paraId="154456A2" w14:textId="77777777" w:rsidR="0012273E" w:rsidRPr="00512BE3" w:rsidRDefault="0012273E" w:rsidP="00C538F0">
      <w:pPr>
        <w:rPr>
          <w:rFonts w:eastAsia="Calibri"/>
          <w:lang w:val="sv-SE" w:eastAsia="en-US"/>
        </w:rPr>
      </w:pPr>
    </w:p>
    <w:p w14:paraId="79BC479C" w14:textId="77777777" w:rsidR="0012273E" w:rsidRPr="00512BE3" w:rsidRDefault="0012273E" w:rsidP="00C538F0">
      <w:pPr>
        <w:rPr>
          <w:rFonts w:eastAsia="Calibri"/>
          <w:lang w:val="sv-SE" w:eastAsia="en-US"/>
        </w:rPr>
      </w:pPr>
    </w:p>
    <w:p w14:paraId="471425CE" w14:textId="77777777" w:rsidR="0012273E" w:rsidRPr="00512BE3" w:rsidRDefault="0012273E" w:rsidP="00C538F0">
      <w:pPr>
        <w:rPr>
          <w:rFonts w:eastAsia="Calibri"/>
          <w:lang w:val="sv-SE" w:eastAsia="en-US"/>
        </w:rPr>
      </w:pPr>
    </w:p>
    <w:p w14:paraId="6AFB2CAB" w14:textId="77777777" w:rsidR="0012273E" w:rsidRPr="00512BE3" w:rsidRDefault="0012273E" w:rsidP="00C538F0">
      <w:pPr>
        <w:rPr>
          <w:rFonts w:eastAsia="Calibri"/>
          <w:lang w:val="sv-SE" w:eastAsia="en-US"/>
        </w:rPr>
      </w:pPr>
    </w:p>
    <w:p w14:paraId="40ED9E59" w14:textId="77777777" w:rsidR="0012273E" w:rsidRPr="00512BE3" w:rsidRDefault="0012273E" w:rsidP="00C538F0">
      <w:pPr>
        <w:rPr>
          <w:rFonts w:eastAsia="Calibri"/>
          <w:lang w:val="sv-SE" w:eastAsia="en-US"/>
        </w:rPr>
      </w:pPr>
    </w:p>
    <w:p w14:paraId="76E08A7B" w14:textId="77777777" w:rsidR="0012273E" w:rsidRPr="00512BE3" w:rsidRDefault="0012273E" w:rsidP="00C538F0">
      <w:pPr>
        <w:rPr>
          <w:rFonts w:eastAsia="Calibri"/>
          <w:lang w:val="sv-SE" w:eastAsia="en-US"/>
        </w:rPr>
      </w:pPr>
    </w:p>
    <w:p w14:paraId="1F2D7BD5" w14:textId="77777777" w:rsidR="0012273E" w:rsidRPr="00512BE3" w:rsidRDefault="0012273E" w:rsidP="00C538F0">
      <w:pPr>
        <w:rPr>
          <w:rFonts w:eastAsia="Calibri"/>
          <w:lang w:val="sv-SE" w:eastAsia="en-US"/>
        </w:rPr>
      </w:pPr>
    </w:p>
    <w:p w14:paraId="2EF46AA1" w14:textId="77777777" w:rsidR="00607A44" w:rsidRPr="00512BE3" w:rsidRDefault="00607A44" w:rsidP="00C538F0">
      <w:pPr>
        <w:rPr>
          <w:rFonts w:eastAsia="Calibri"/>
          <w:lang w:val="sv-SE" w:eastAsia="en-US"/>
        </w:rPr>
      </w:pPr>
    </w:p>
    <w:p w14:paraId="71AB6A91" w14:textId="77777777" w:rsidR="00247E31" w:rsidRPr="00512BE3" w:rsidRDefault="00247E31" w:rsidP="00C538F0">
      <w:pPr>
        <w:rPr>
          <w:rFonts w:eastAsia="Calibri"/>
          <w:lang w:val="sv-SE" w:eastAsia="en-US"/>
        </w:rPr>
      </w:pPr>
    </w:p>
    <w:p w14:paraId="582432D6" w14:textId="77777777" w:rsidR="00247E31" w:rsidRPr="00512BE3" w:rsidRDefault="00247E31" w:rsidP="00C538F0">
      <w:pPr>
        <w:rPr>
          <w:rFonts w:eastAsia="Calibri"/>
          <w:lang w:val="sv-SE" w:eastAsia="en-US"/>
        </w:rPr>
      </w:pPr>
    </w:p>
    <w:p w14:paraId="7FBF26D0" w14:textId="77777777" w:rsidR="00247E31" w:rsidRPr="00512BE3" w:rsidRDefault="00247E31" w:rsidP="00C538F0">
      <w:pPr>
        <w:rPr>
          <w:rFonts w:eastAsia="Calibri"/>
          <w:lang w:val="sv-SE" w:eastAsia="en-US"/>
        </w:rPr>
      </w:pPr>
    </w:p>
    <w:p w14:paraId="6340E90E" w14:textId="77777777" w:rsidR="00247E31" w:rsidRPr="00512BE3" w:rsidRDefault="00247E31" w:rsidP="00C538F0">
      <w:pPr>
        <w:rPr>
          <w:rFonts w:eastAsia="Calibri"/>
          <w:lang w:val="sv-SE" w:eastAsia="en-US"/>
        </w:rPr>
      </w:pPr>
    </w:p>
    <w:p w14:paraId="4C39A2B7" w14:textId="3574AA9A" w:rsidR="00607A44" w:rsidRDefault="00607A44" w:rsidP="00C538F0">
      <w:pPr>
        <w:rPr>
          <w:rFonts w:eastAsia="Calibri"/>
          <w:lang w:val="sv-SE" w:eastAsia="en-US"/>
        </w:rPr>
      </w:pPr>
    </w:p>
    <w:p w14:paraId="57C1B494" w14:textId="77777777" w:rsidR="004A2798" w:rsidRPr="00512BE3" w:rsidRDefault="004A2798" w:rsidP="00C538F0">
      <w:pPr>
        <w:rPr>
          <w:rFonts w:eastAsia="Calibri"/>
          <w:lang w:val="sv-SE" w:eastAsia="en-US"/>
        </w:rPr>
      </w:pPr>
    </w:p>
    <w:p w14:paraId="5A241E25" w14:textId="77777777" w:rsidR="00AB05E3" w:rsidRPr="00512BE3" w:rsidRDefault="00AB05E3" w:rsidP="00C538F0">
      <w:pPr>
        <w:rPr>
          <w:rFonts w:eastAsia="Calibri"/>
          <w:lang w:val="sv-SE" w:eastAsia="en-US"/>
        </w:rPr>
      </w:pPr>
    </w:p>
    <w:p w14:paraId="36A55F36" w14:textId="77777777" w:rsidR="00785308" w:rsidRPr="00512BE3" w:rsidRDefault="00785308" w:rsidP="00D51590">
      <w:pPr>
        <w:rPr>
          <w:rFonts w:eastAsia="Calibri"/>
          <w:lang w:val="sv-SE" w:eastAsia="en-US"/>
        </w:rPr>
      </w:pPr>
    </w:p>
    <w:p w14:paraId="2550CDAC" w14:textId="77777777" w:rsidR="00A83463" w:rsidRDefault="00A83463" w:rsidP="00522BB4">
      <w:pPr>
        <w:pStyle w:val="Heading1"/>
        <w:numPr>
          <w:ilvl w:val="0"/>
          <w:numId w:val="0"/>
        </w:numPr>
        <w:spacing w:before="0"/>
        <w:ind w:left="432" w:hanging="432"/>
        <w:rPr>
          <w:rFonts w:eastAsia="Calibri"/>
          <w:lang w:val="sv-SE" w:eastAsia="en-US"/>
        </w:rPr>
      </w:pPr>
      <w:bookmarkStart w:id="1" w:name="_Toc95294144"/>
    </w:p>
    <w:p w14:paraId="35626A42" w14:textId="77777777" w:rsidR="00A83463" w:rsidRDefault="00A83463" w:rsidP="00522BB4">
      <w:pPr>
        <w:pStyle w:val="Heading1"/>
        <w:numPr>
          <w:ilvl w:val="0"/>
          <w:numId w:val="0"/>
        </w:numPr>
        <w:spacing w:before="0"/>
        <w:ind w:left="432" w:hanging="432"/>
        <w:rPr>
          <w:rFonts w:eastAsia="Calibri"/>
          <w:lang w:val="sv-SE" w:eastAsia="en-US"/>
        </w:rPr>
      </w:pPr>
    </w:p>
    <w:p w14:paraId="0142786E" w14:textId="1E963572" w:rsidR="00785308" w:rsidRDefault="006D4FAB" w:rsidP="00522BB4">
      <w:pPr>
        <w:pStyle w:val="Heading1"/>
        <w:numPr>
          <w:ilvl w:val="0"/>
          <w:numId w:val="0"/>
        </w:numPr>
        <w:spacing w:before="0"/>
        <w:ind w:left="432" w:hanging="432"/>
        <w:rPr>
          <w:rFonts w:eastAsia="Calibri"/>
          <w:lang w:val="sv-SE" w:eastAsia="en-US"/>
        </w:rPr>
      </w:pPr>
      <w:r w:rsidRPr="00512BE3">
        <w:rPr>
          <w:rFonts w:eastAsia="Calibri"/>
          <w:lang w:val="sv-SE" w:eastAsia="en-US"/>
        </w:rPr>
        <w:t>UVOD</w:t>
      </w:r>
      <w:bookmarkEnd w:id="1"/>
    </w:p>
    <w:p w14:paraId="038D17AE" w14:textId="77777777" w:rsidR="00A83463" w:rsidRPr="00A83463" w:rsidRDefault="00A83463" w:rsidP="00A83463">
      <w:pPr>
        <w:rPr>
          <w:rFonts w:eastAsia="Calibri"/>
          <w:lang w:val="sv-SE" w:eastAsia="en-US"/>
        </w:rPr>
      </w:pPr>
    </w:p>
    <w:p w14:paraId="6E12D752" w14:textId="77777777" w:rsidR="006337B7" w:rsidRPr="00512BE3" w:rsidRDefault="006337B7" w:rsidP="001F4D4A">
      <w:pPr>
        <w:tabs>
          <w:tab w:val="left" w:pos="3045"/>
        </w:tabs>
        <w:spacing w:after="40"/>
        <w:jc w:val="both"/>
        <w:rPr>
          <w:sz w:val="22"/>
          <w:szCs w:val="22"/>
        </w:rPr>
      </w:pPr>
    </w:p>
    <w:p w14:paraId="63DB49F1" w14:textId="77777777" w:rsidR="003D78D4" w:rsidRPr="00512BE3" w:rsidRDefault="003D78D4" w:rsidP="000765DD">
      <w:pPr>
        <w:widowControl w:val="0"/>
        <w:tabs>
          <w:tab w:val="left" w:pos="567"/>
        </w:tabs>
        <w:autoSpaceDE w:val="0"/>
        <w:autoSpaceDN w:val="0"/>
        <w:adjustRightInd w:val="0"/>
        <w:ind w:firstLine="567"/>
        <w:jc w:val="both"/>
        <w:rPr>
          <w:sz w:val="22"/>
          <w:szCs w:val="22"/>
          <w:lang w:val="sr-Latn-BA"/>
        </w:rPr>
      </w:pPr>
      <w:r w:rsidRPr="00512BE3">
        <w:rPr>
          <w:sz w:val="22"/>
          <w:szCs w:val="22"/>
        </w:rPr>
        <w:t>U</w:t>
      </w:r>
      <w:r w:rsidR="001F4D4A" w:rsidRPr="00512BE3">
        <w:rPr>
          <w:sz w:val="22"/>
          <w:szCs w:val="22"/>
        </w:rPr>
        <w:t>prava za indirektno oporezivanje (u daljem tekstu: U</w:t>
      </w:r>
      <w:r w:rsidRPr="00512BE3">
        <w:rPr>
          <w:sz w:val="22"/>
          <w:szCs w:val="22"/>
        </w:rPr>
        <w:t>IO</w:t>
      </w:r>
      <w:r w:rsidR="001F4D4A" w:rsidRPr="00512BE3">
        <w:rPr>
          <w:sz w:val="22"/>
          <w:szCs w:val="22"/>
        </w:rPr>
        <w:t>)</w:t>
      </w:r>
      <w:r w:rsidRPr="00512BE3">
        <w:rPr>
          <w:sz w:val="22"/>
          <w:szCs w:val="22"/>
        </w:rPr>
        <w:t xml:space="preserve"> </w:t>
      </w:r>
      <w:r w:rsidRPr="00512BE3">
        <w:rPr>
          <w:sz w:val="22"/>
          <w:szCs w:val="22"/>
          <w:lang w:val="pl-PL"/>
        </w:rPr>
        <w:t>kao samostalna upravna organizacija</w:t>
      </w:r>
      <w:r w:rsidRPr="00512BE3">
        <w:rPr>
          <w:sz w:val="22"/>
          <w:szCs w:val="22"/>
        </w:rPr>
        <w:t xml:space="preserve">, </w:t>
      </w:r>
      <w:r w:rsidRPr="00512BE3">
        <w:rPr>
          <w:sz w:val="22"/>
          <w:szCs w:val="22"/>
          <w:lang w:val="pl-PL"/>
        </w:rPr>
        <w:t xml:space="preserve">uspostavljena </w:t>
      </w:r>
      <w:r w:rsidR="001F4D4A" w:rsidRPr="00512BE3">
        <w:rPr>
          <w:sz w:val="22"/>
          <w:szCs w:val="22"/>
          <w:lang w:val="pl-PL"/>
        </w:rPr>
        <w:t xml:space="preserve">je </w:t>
      </w:r>
      <w:r w:rsidRPr="00512BE3">
        <w:rPr>
          <w:sz w:val="22"/>
          <w:szCs w:val="22"/>
          <w:lang w:val="pl-PL"/>
        </w:rPr>
        <w:t>Zakonom o sistemu indirektnog oporezivanja u Bosni i Hercegovini („Službeni glasnik BiH“ br. 44/03, 52/04, 4/08, 49/09, 32/13 i 91/17), kao jedini organ nadležan za sprovo</w:t>
      </w:r>
      <w:r w:rsidRPr="00512BE3">
        <w:rPr>
          <w:sz w:val="22"/>
          <w:szCs w:val="22"/>
          <w:lang w:val="sr-Latn-BA"/>
        </w:rPr>
        <w:t>đenje zakonskih propisa o indirektnom oporezivanju i politike koju utvrdi Savjet ministara BiH na prijedlog Upravnog odbora, zadužena je za naplatu i raspodjelu indirektnih poreza u Bosni i Hercegovini. Nadležnost, organizacija, rukovođenje i druga pitanja znač</w:t>
      </w:r>
      <w:r w:rsidRPr="00512BE3">
        <w:rPr>
          <w:sz w:val="22"/>
          <w:szCs w:val="22"/>
        </w:rPr>
        <w:t>ajna za rad UIO regulisana su Zakonom o Upravi za indirektno oporezivanje</w:t>
      </w:r>
      <w:r w:rsidRPr="00512BE3">
        <w:rPr>
          <w:sz w:val="22"/>
          <w:szCs w:val="22"/>
          <w:lang w:val="sr-Latn-BA"/>
        </w:rPr>
        <w:t xml:space="preserve"> („</w:t>
      </w:r>
      <w:r w:rsidRPr="00512BE3">
        <w:rPr>
          <w:sz w:val="22"/>
          <w:szCs w:val="22"/>
        </w:rPr>
        <w:t>Slu</w:t>
      </w:r>
      <w:r w:rsidRPr="00512BE3">
        <w:rPr>
          <w:sz w:val="22"/>
          <w:szCs w:val="22"/>
          <w:lang w:val="sr-Latn-BA"/>
        </w:rPr>
        <w:t>ž</w:t>
      </w:r>
      <w:r w:rsidRPr="00512BE3">
        <w:rPr>
          <w:sz w:val="22"/>
          <w:szCs w:val="22"/>
        </w:rPr>
        <w:t>beni glasnik BiH</w:t>
      </w:r>
      <w:r w:rsidRPr="00512BE3">
        <w:rPr>
          <w:sz w:val="22"/>
          <w:szCs w:val="22"/>
          <w:lang w:val="sr-Latn-BA"/>
        </w:rPr>
        <w:t xml:space="preserve">“ </w:t>
      </w:r>
      <w:r w:rsidRPr="00512BE3">
        <w:rPr>
          <w:sz w:val="22"/>
          <w:szCs w:val="22"/>
        </w:rPr>
        <w:t>broj:</w:t>
      </w:r>
      <w:r w:rsidRPr="00512BE3">
        <w:rPr>
          <w:sz w:val="22"/>
          <w:szCs w:val="22"/>
          <w:lang w:val="sr-Latn-BA"/>
        </w:rPr>
        <w:t xml:space="preserve"> 89/05) </w:t>
      </w:r>
      <w:r w:rsidRPr="00512BE3">
        <w:rPr>
          <w:sz w:val="22"/>
          <w:szCs w:val="22"/>
          <w:lang w:val="sr-Latn-CS"/>
        </w:rPr>
        <w:t>i</w:t>
      </w:r>
      <w:r w:rsidRPr="00512BE3">
        <w:rPr>
          <w:sz w:val="22"/>
          <w:szCs w:val="22"/>
        </w:rPr>
        <w:t xml:space="preserve"> drugim zakonima koji reguli</w:t>
      </w:r>
      <w:r w:rsidRPr="00512BE3">
        <w:rPr>
          <w:sz w:val="22"/>
          <w:szCs w:val="22"/>
          <w:lang w:val="sr-Latn-BA"/>
        </w:rPr>
        <w:t>š</w:t>
      </w:r>
      <w:r w:rsidRPr="00512BE3">
        <w:rPr>
          <w:sz w:val="22"/>
          <w:szCs w:val="22"/>
        </w:rPr>
        <w:t>u indirektne poreze u Bosni i Hercegovini</w:t>
      </w:r>
      <w:r w:rsidRPr="00512BE3">
        <w:rPr>
          <w:sz w:val="22"/>
          <w:szCs w:val="22"/>
          <w:lang w:val="sr-Latn-BA"/>
        </w:rPr>
        <w:t xml:space="preserve">. </w:t>
      </w:r>
      <w:r w:rsidRPr="00512BE3">
        <w:rPr>
          <w:sz w:val="22"/>
          <w:szCs w:val="22"/>
        </w:rPr>
        <w:t>Poslove iz svoje nadle</w:t>
      </w:r>
      <w:r w:rsidRPr="00512BE3">
        <w:rPr>
          <w:sz w:val="22"/>
          <w:szCs w:val="22"/>
          <w:lang w:val="sr-Latn-BA"/>
        </w:rPr>
        <w:t>ž</w:t>
      </w:r>
      <w:r w:rsidRPr="00512BE3">
        <w:rPr>
          <w:sz w:val="22"/>
          <w:szCs w:val="22"/>
        </w:rPr>
        <w:t>nosti UIO vr</w:t>
      </w:r>
      <w:r w:rsidRPr="00512BE3">
        <w:rPr>
          <w:sz w:val="22"/>
          <w:szCs w:val="22"/>
          <w:lang w:val="sr-Latn-BA"/>
        </w:rPr>
        <w:t>š</w:t>
      </w:r>
      <w:r w:rsidRPr="00512BE3">
        <w:rPr>
          <w:sz w:val="22"/>
          <w:szCs w:val="22"/>
        </w:rPr>
        <w:t>i u Sredi</w:t>
      </w:r>
      <w:r w:rsidRPr="00512BE3">
        <w:rPr>
          <w:sz w:val="22"/>
          <w:szCs w:val="22"/>
          <w:lang w:val="sr-Latn-BA"/>
        </w:rPr>
        <w:t>š</w:t>
      </w:r>
      <w:r w:rsidRPr="00512BE3">
        <w:rPr>
          <w:sz w:val="22"/>
          <w:szCs w:val="22"/>
        </w:rPr>
        <w:t>njem uredu sa sjedi</w:t>
      </w:r>
      <w:r w:rsidRPr="00512BE3">
        <w:rPr>
          <w:sz w:val="22"/>
          <w:szCs w:val="22"/>
          <w:lang w:val="sr-Latn-BA"/>
        </w:rPr>
        <w:t>š</w:t>
      </w:r>
      <w:r w:rsidRPr="00512BE3">
        <w:rPr>
          <w:sz w:val="22"/>
          <w:szCs w:val="22"/>
        </w:rPr>
        <w:t>tem u Banja Luci i regionalnim centrima koji se nalaze u Banja Luci</w:t>
      </w:r>
      <w:r w:rsidRPr="00512BE3">
        <w:rPr>
          <w:sz w:val="22"/>
          <w:szCs w:val="22"/>
          <w:lang w:val="sr-Latn-BA"/>
        </w:rPr>
        <w:t xml:space="preserve">, </w:t>
      </w:r>
      <w:r w:rsidRPr="00512BE3">
        <w:rPr>
          <w:sz w:val="22"/>
          <w:szCs w:val="22"/>
        </w:rPr>
        <w:t>Sarajevu</w:t>
      </w:r>
      <w:r w:rsidRPr="00512BE3">
        <w:rPr>
          <w:sz w:val="22"/>
          <w:szCs w:val="22"/>
          <w:lang w:val="sr-Latn-BA"/>
        </w:rPr>
        <w:t xml:space="preserve">, </w:t>
      </w:r>
      <w:r w:rsidRPr="00512BE3">
        <w:rPr>
          <w:sz w:val="22"/>
          <w:szCs w:val="22"/>
        </w:rPr>
        <w:t>Mostaru i Tuzli</w:t>
      </w:r>
      <w:r w:rsidRPr="00512BE3">
        <w:rPr>
          <w:sz w:val="22"/>
          <w:szCs w:val="22"/>
          <w:lang w:val="sr-Latn-BA"/>
        </w:rPr>
        <w:t xml:space="preserve">, </w:t>
      </w:r>
      <w:r w:rsidRPr="00512BE3">
        <w:rPr>
          <w:sz w:val="22"/>
          <w:szCs w:val="22"/>
        </w:rPr>
        <w:t>putem svojih osnovnih i unutra</w:t>
      </w:r>
      <w:r w:rsidRPr="00512BE3">
        <w:rPr>
          <w:sz w:val="22"/>
          <w:szCs w:val="22"/>
          <w:lang w:val="sr-Latn-BA"/>
        </w:rPr>
        <w:t>š</w:t>
      </w:r>
      <w:r w:rsidRPr="00512BE3">
        <w:rPr>
          <w:sz w:val="22"/>
          <w:szCs w:val="22"/>
        </w:rPr>
        <w:t>njih organizacionih jedinica</w:t>
      </w:r>
      <w:r w:rsidRPr="00512BE3">
        <w:rPr>
          <w:sz w:val="22"/>
          <w:szCs w:val="22"/>
          <w:lang w:val="sr-Latn-BA"/>
        </w:rPr>
        <w:t xml:space="preserve">, </w:t>
      </w:r>
      <w:r w:rsidRPr="00512BE3">
        <w:rPr>
          <w:sz w:val="22"/>
          <w:szCs w:val="22"/>
        </w:rPr>
        <w:t>utvr</w:t>
      </w:r>
      <w:r w:rsidRPr="00512BE3">
        <w:rPr>
          <w:sz w:val="22"/>
          <w:szCs w:val="22"/>
          <w:lang w:val="sr-Latn-BA"/>
        </w:rPr>
        <w:t>đenih Pravilnikom o unutrašnjoj organizaciji UI</w:t>
      </w:r>
      <w:r w:rsidRPr="00512BE3">
        <w:rPr>
          <w:sz w:val="22"/>
          <w:szCs w:val="22"/>
        </w:rPr>
        <w:t>O („Službeni glasni</w:t>
      </w:r>
      <w:r w:rsidR="00154DC1" w:rsidRPr="00512BE3">
        <w:rPr>
          <w:sz w:val="22"/>
          <w:szCs w:val="22"/>
        </w:rPr>
        <w:t>k BiH“ br. 29/13, 11/16, 72/16,</w:t>
      </w:r>
      <w:r w:rsidR="00C36CF4" w:rsidRPr="00512BE3">
        <w:rPr>
          <w:sz w:val="22"/>
          <w:szCs w:val="22"/>
        </w:rPr>
        <w:t xml:space="preserve"> 47/17, 55/17, </w:t>
      </w:r>
      <w:r w:rsidRPr="00512BE3">
        <w:rPr>
          <w:sz w:val="22"/>
          <w:szCs w:val="22"/>
        </w:rPr>
        <w:t>41/19</w:t>
      </w:r>
      <w:r w:rsidR="00C36CF4" w:rsidRPr="00512BE3">
        <w:rPr>
          <w:sz w:val="22"/>
          <w:szCs w:val="22"/>
        </w:rPr>
        <w:t>, 43/21 i 71/21</w:t>
      </w:r>
      <w:r w:rsidRPr="00512BE3">
        <w:rPr>
          <w:sz w:val="22"/>
          <w:szCs w:val="22"/>
        </w:rPr>
        <w:t>).</w:t>
      </w:r>
    </w:p>
    <w:p w14:paraId="05753EAE" w14:textId="34BCFF68" w:rsidR="001F4D4A" w:rsidRPr="00512BE3" w:rsidRDefault="003D78D4" w:rsidP="007B4B76">
      <w:pPr>
        <w:widowControl w:val="0"/>
        <w:tabs>
          <w:tab w:val="left" w:pos="567"/>
        </w:tabs>
        <w:autoSpaceDE w:val="0"/>
        <w:autoSpaceDN w:val="0"/>
        <w:adjustRightInd w:val="0"/>
        <w:spacing w:after="40"/>
        <w:ind w:right="-2"/>
        <w:jc w:val="both"/>
        <w:rPr>
          <w:sz w:val="22"/>
          <w:szCs w:val="22"/>
        </w:rPr>
      </w:pPr>
      <w:r w:rsidRPr="00512BE3">
        <w:rPr>
          <w:sz w:val="22"/>
          <w:szCs w:val="22"/>
        </w:rPr>
        <w:tab/>
        <w:t>U funkcionisanju UIO značajna je uloga Upravnog odbora UIO, kako u kreiranju politike indirektnih poreza, tako i u kontinuiranom praćenju efikasnosti i ef</w:t>
      </w:r>
      <w:r w:rsidR="00B97E5F" w:rsidRPr="00512BE3">
        <w:rPr>
          <w:sz w:val="22"/>
          <w:szCs w:val="22"/>
        </w:rPr>
        <w:t>ektivnosti rada UIO. U toku 2022</w:t>
      </w:r>
      <w:r w:rsidRPr="00512BE3">
        <w:rPr>
          <w:sz w:val="22"/>
          <w:szCs w:val="22"/>
        </w:rPr>
        <w:t xml:space="preserve">. godine Upravni odbor je u izvršavanju poslova iz svoje nadležnosti kontinuirano pratio stanje naplate indirektnih poreza, stanje analize finansijskih efekata primjene propisa o indirektnim porezima, opravdanost inicijativa za izmjenu ili dopunu propisa o indirektnim porezima i druge aktivnosti koje na direktan ili indirektan način utiču na nivo </w:t>
      </w:r>
      <w:r w:rsidR="003B2F16" w:rsidRPr="00512BE3">
        <w:rPr>
          <w:sz w:val="22"/>
          <w:szCs w:val="22"/>
        </w:rPr>
        <w:t xml:space="preserve">prihoda od indirektnih poreza. </w:t>
      </w:r>
    </w:p>
    <w:p w14:paraId="7DF23ED2" w14:textId="77777777" w:rsidR="003D78D4" w:rsidRPr="00512BE3" w:rsidRDefault="003D78D4" w:rsidP="007B4B76">
      <w:pPr>
        <w:ind w:right="-2" w:firstLine="567"/>
        <w:jc w:val="both"/>
        <w:rPr>
          <w:rFonts w:eastAsia="Calibri"/>
          <w:sz w:val="22"/>
          <w:szCs w:val="22"/>
          <w:lang w:val="sr-Latn-BA" w:eastAsia="en-US"/>
        </w:rPr>
      </w:pPr>
      <w:r w:rsidRPr="00512BE3">
        <w:rPr>
          <w:sz w:val="22"/>
          <w:szCs w:val="22"/>
          <w:lang w:val="pl-PL"/>
        </w:rPr>
        <w:t>Izvještaj o radu predstavlja sintezu rada osnovnih o</w:t>
      </w:r>
      <w:r w:rsidR="00E11EFC" w:rsidRPr="00512BE3">
        <w:rPr>
          <w:sz w:val="22"/>
          <w:szCs w:val="22"/>
          <w:lang w:val="pl-PL"/>
        </w:rPr>
        <w:t>rganizacionih jedinica UIO u 202</w:t>
      </w:r>
      <w:r w:rsidR="002A3805" w:rsidRPr="00512BE3">
        <w:rPr>
          <w:sz w:val="22"/>
          <w:szCs w:val="22"/>
          <w:lang w:val="pl-PL"/>
        </w:rPr>
        <w:t>2</w:t>
      </w:r>
      <w:r w:rsidRPr="00512BE3">
        <w:rPr>
          <w:sz w:val="22"/>
          <w:szCs w:val="22"/>
          <w:lang w:val="pl-PL"/>
        </w:rPr>
        <w:t>.godini iskazan po oblastima djelovanja UIO i to: naplata prihoda, raspodjela prihoda, povrat indirektnih poreza, prinudna naplata, kontrolne aktivnosti, poreski i carinski postupci, drugostepeno upravno rješavanje, informacione tehnologije, interna revizija, normativne aktivnosti, realizacija odobrenih budžetskih sredstava i ostale aktivnosti iz djelokruga rada UIO uključujući i probleme u funkcionisanju UIO.</w:t>
      </w:r>
      <w:r w:rsidR="00E65524" w:rsidRPr="00512BE3">
        <w:rPr>
          <w:rFonts w:eastAsia="Calibri"/>
          <w:sz w:val="22"/>
          <w:szCs w:val="22"/>
          <w:lang w:val="sr-Latn-BA" w:eastAsia="en-US"/>
        </w:rPr>
        <w:t xml:space="preserve"> U skladu sa propisanim nadležnostima </w:t>
      </w:r>
      <w:r w:rsidR="002A3805" w:rsidRPr="00512BE3">
        <w:rPr>
          <w:rFonts w:eastAsia="Calibri"/>
          <w:sz w:val="22"/>
          <w:szCs w:val="22"/>
          <w:lang w:val="sr-Latn-BA" w:eastAsia="en-US"/>
        </w:rPr>
        <w:t>i u toku 2022</w:t>
      </w:r>
      <w:r w:rsidR="001F4D4A" w:rsidRPr="00512BE3">
        <w:rPr>
          <w:rFonts w:eastAsia="Calibri"/>
          <w:sz w:val="22"/>
          <w:szCs w:val="22"/>
          <w:lang w:val="sr-Latn-BA" w:eastAsia="en-US"/>
        </w:rPr>
        <w:t xml:space="preserve">. godine </w:t>
      </w:r>
      <w:r w:rsidR="00E65524" w:rsidRPr="00512BE3">
        <w:rPr>
          <w:rFonts w:eastAsia="Calibri"/>
          <w:sz w:val="22"/>
          <w:szCs w:val="22"/>
          <w:lang w:val="sr-Latn-BA" w:eastAsia="en-US"/>
        </w:rPr>
        <w:t xml:space="preserve">provedene su značajne aktivnosti na jačanju poreske discipline, s ciljem povećanja stepena dobrovoljnog poštivanja propisa od strane obveznika indirektnih poreza, dat je akcenat na dodatnom unapređenju, modernizaciji i poboljšaju poslovnih procesa, posebno putem efikasnog planiranja, </w:t>
      </w:r>
      <w:r w:rsidR="00C36CF4" w:rsidRPr="00512BE3">
        <w:rPr>
          <w:rFonts w:eastAsia="Calibri"/>
          <w:sz w:val="22"/>
          <w:szCs w:val="22"/>
          <w:lang w:val="sr-Latn-BA" w:eastAsia="en-US"/>
        </w:rPr>
        <w:t xml:space="preserve">izrade mape poslovnih procesa UIO, </w:t>
      </w:r>
      <w:r w:rsidR="00E65524" w:rsidRPr="00512BE3">
        <w:rPr>
          <w:rFonts w:eastAsia="Calibri"/>
          <w:sz w:val="22"/>
          <w:szCs w:val="22"/>
          <w:lang w:val="sr-Latn-BA" w:eastAsia="en-US"/>
        </w:rPr>
        <w:t>komunika</w:t>
      </w:r>
      <w:r w:rsidR="007B4B76" w:rsidRPr="00512BE3">
        <w:rPr>
          <w:rFonts w:eastAsia="Calibri"/>
          <w:sz w:val="22"/>
          <w:szCs w:val="22"/>
          <w:lang w:val="sr-Latn-BA" w:eastAsia="en-US"/>
        </w:rPr>
        <w:t xml:space="preserve">cije i razmjene podataka </w:t>
      </w:r>
      <w:r w:rsidR="00E65524" w:rsidRPr="00512BE3">
        <w:rPr>
          <w:rFonts w:eastAsia="Calibri"/>
          <w:sz w:val="22"/>
          <w:szCs w:val="22"/>
          <w:lang w:val="sr-Latn-BA" w:eastAsia="en-US"/>
        </w:rPr>
        <w:t>unutar organizacionih</w:t>
      </w:r>
      <w:r w:rsidR="007B4B76" w:rsidRPr="00512BE3">
        <w:rPr>
          <w:rFonts w:eastAsia="Calibri"/>
          <w:sz w:val="22"/>
          <w:szCs w:val="22"/>
          <w:lang w:val="sr-Latn-BA" w:eastAsia="en-US"/>
        </w:rPr>
        <w:t xml:space="preserve"> jedinica</w:t>
      </w:r>
      <w:r w:rsidR="00E65524" w:rsidRPr="00512BE3">
        <w:rPr>
          <w:rFonts w:eastAsia="Calibri"/>
          <w:sz w:val="22"/>
          <w:szCs w:val="22"/>
          <w:lang w:val="sr-Latn-BA" w:eastAsia="en-US"/>
        </w:rPr>
        <w:t xml:space="preserve"> UIO, komunikacije i saradnje sa poreskim obveznicima, te identifikovanja prioriteta za provođenje ko</w:t>
      </w:r>
      <w:r w:rsidR="007B4B76" w:rsidRPr="00512BE3">
        <w:rPr>
          <w:rFonts w:eastAsia="Calibri"/>
          <w:sz w:val="22"/>
          <w:szCs w:val="22"/>
          <w:lang w:val="sr-Latn-BA" w:eastAsia="en-US"/>
        </w:rPr>
        <w:t>ntrola.</w:t>
      </w:r>
    </w:p>
    <w:p w14:paraId="1887AD5F" w14:textId="0368679D" w:rsidR="00142E6B" w:rsidRDefault="003D78D4" w:rsidP="003B2F16">
      <w:pPr>
        <w:spacing w:after="40"/>
        <w:ind w:firstLine="567"/>
        <w:jc w:val="both"/>
        <w:rPr>
          <w:rFonts w:eastAsia="Calibri"/>
          <w:sz w:val="22"/>
          <w:szCs w:val="22"/>
          <w:lang w:val="sv-SE" w:eastAsia="en-US"/>
        </w:rPr>
      </w:pPr>
      <w:r w:rsidRPr="00512BE3">
        <w:rPr>
          <w:rFonts w:eastAsia="Calibri"/>
          <w:sz w:val="22"/>
          <w:szCs w:val="22"/>
          <w:lang w:val="sv-SE" w:eastAsia="en-US"/>
        </w:rPr>
        <w:t>UIO je u obavezi da shodno odredbi člana 8. stav 6. Zakona o sistemu indirektnog oporezivanja u BiH sačini godišnji izvještaj o finansijskom stanju i aktivnostima UIO i dostavi na re</w:t>
      </w:r>
      <w:r w:rsidR="003B2F16" w:rsidRPr="00512BE3">
        <w:rPr>
          <w:rFonts w:eastAsia="Calibri"/>
          <w:sz w:val="22"/>
          <w:szCs w:val="22"/>
          <w:lang w:val="sv-SE" w:eastAsia="en-US"/>
        </w:rPr>
        <w:t xml:space="preserve">vidiranje Upravnom odboru UIO. </w:t>
      </w:r>
    </w:p>
    <w:p w14:paraId="575BB086" w14:textId="77777777" w:rsidR="00A83463" w:rsidRPr="00512BE3" w:rsidRDefault="00A83463" w:rsidP="003B2F16">
      <w:pPr>
        <w:spacing w:after="40"/>
        <w:ind w:firstLine="567"/>
        <w:jc w:val="both"/>
        <w:rPr>
          <w:rFonts w:eastAsia="Calibri"/>
          <w:sz w:val="22"/>
          <w:szCs w:val="22"/>
          <w:lang w:val="sv-SE" w:eastAsia="en-US"/>
        </w:rPr>
      </w:pPr>
    </w:p>
    <w:p w14:paraId="2812E2D7" w14:textId="77777777" w:rsidR="00142E6B" w:rsidRPr="00512BE3" w:rsidRDefault="00142E6B" w:rsidP="005A494C">
      <w:pPr>
        <w:spacing w:after="40"/>
        <w:ind w:firstLine="567"/>
        <w:jc w:val="both"/>
        <w:rPr>
          <w:rFonts w:eastAsia="Calibri"/>
          <w:sz w:val="22"/>
          <w:szCs w:val="22"/>
          <w:lang w:val="sv-SE" w:eastAsia="en-US"/>
        </w:rPr>
      </w:pPr>
    </w:p>
    <w:p w14:paraId="779516F6" w14:textId="77777777" w:rsidR="00E62618" w:rsidRPr="00512BE3" w:rsidRDefault="00E62618" w:rsidP="00A66E2B">
      <w:pPr>
        <w:pStyle w:val="Heading1"/>
        <w:spacing w:before="0"/>
        <w:ind w:left="431" w:hanging="431"/>
      </w:pPr>
      <w:bookmarkStart w:id="2" w:name="_Toc95294145"/>
      <w:r w:rsidRPr="00512BE3">
        <w:t>NAPLATA PRIHODA</w:t>
      </w:r>
      <w:bookmarkEnd w:id="0"/>
      <w:bookmarkEnd w:id="2"/>
    </w:p>
    <w:p w14:paraId="2D9ED8CC" w14:textId="77777777" w:rsidR="00E62618" w:rsidRPr="00512BE3" w:rsidRDefault="00E62618" w:rsidP="00E62618"/>
    <w:p w14:paraId="35895FB3" w14:textId="5971DAB0" w:rsidR="0090641C" w:rsidRPr="00512BE3" w:rsidRDefault="004502DB" w:rsidP="0090641C">
      <w:pPr>
        <w:spacing w:after="120"/>
        <w:ind w:firstLine="720"/>
        <w:jc w:val="both"/>
        <w:rPr>
          <w:sz w:val="22"/>
          <w:szCs w:val="22"/>
          <w:lang w:val="sr-Latn-RS"/>
        </w:rPr>
      </w:pPr>
      <w:r w:rsidRPr="00512BE3">
        <w:rPr>
          <w:sz w:val="22"/>
          <w:szCs w:val="22"/>
          <w:lang w:val="sr-Latn-RS"/>
        </w:rPr>
        <w:t>UIO j</w:t>
      </w:r>
      <w:r w:rsidR="009A0B71" w:rsidRPr="00512BE3">
        <w:rPr>
          <w:sz w:val="22"/>
          <w:szCs w:val="22"/>
          <w:lang w:val="sr-Latn-RS"/>
        </w:rPr>
        <w:t>e u periodu od 01.01.-31.12.2022</w:t>
      </w:r>
      <w:r w:rsidRPr="00512BE3">
        <w:rPr>
          <w:sz w:val="22"/>
          <w:szCs w:val="22"/>
          <w:lang w:val="sr-Latn-RS"/>
        </w:rPr>
        <w:t xml:space="preserve">. godine </w:t>
      </w:r>
      <w:r w:rsidR="009A0B71" w:rsidRPr="00512BE3">
        <w:rPr>
          <w:rFonts w:eastAsia="Calibri"/>
          <w:b/>
          <w:bCs/>
          <w:noProof/>
          <w:sz w:val="22"/>
          <w:szCs w:val="22"/>
          <w:lang w:val="sr-Latn-RS" w:eastAsia="en-US"/>
        </w:rPr>
        <w:t>prikupila ukupno</w:t>
      </w:r>
      <w:r w:rsidR="009A0B71" w:rsidRPr="00512BE3">
        <w:rPr>
          <w:rFonts w:eastAsia="Calibri"/>
          <w:noProof/>
          <w:sz w:val="22"/>
          <w:szCs w:val="22"/>
          <w:lang w:val="sr-Latn-RS" w:eastAsia="en-US"/>
        </w:rPr>
        <w:t xml:space="preserve"> </w:t>
      </w:r>
      <w:r w:rsidR="009A0B71" w:rsidRPr="00512BE3">
        <w:rPr>
          <w:rFonts w:eastAsia="Calibri"/>
          <w:b/>
          <w:noProof/>
          <w:sz w:val="22"/>
          <w:szCs w:val="22"/>
          <w:lang w:val="sr-Latn-RS" w:eastAsia="en-US"/>
        </w:rPr>
        <w:t>9</w:t>
      </w:r>
      <w:r w:rsidR="009A0B71" w:rsidRPr="00512BE3">
        <w:rPr>
          <w:rFonts w:eastAsia="Calibri"/>
          <w:b/>
          <w:bCs/>
          <w:noProof/>
          <w:sz w:val="22"/>
          <w:szCs w:val="22"/>
          <w:lang w:val="sr-Latn-RS" w:eastAsia="en-US"/>
        </w:rPr>
        <w:t xml:space="preserve"> milijardi i 926 miliona KM prihoda na Jedinstvenom računu što je za cca 1 milijardu i 48</w:t>
      </w:r>
      <w:r w:rsidR="001A2DBA">
        <w:rPr>
          <w:rFonts w:eastAsia="Calibri"/>
          <w:b/>
          <w:bCs/>
          <w:noProof/>
          <w:sz w:val="22"/>
          <w:szCs w:val="22"/>
          <w:lang w:val="sr-Latn-RS" w:eastAsia="en-US"/>
        </w:rPr>
        <w:t>1 milion</w:t>
      </w:r>
      <w:r w:rsidR="009A0B71" w:rsidRPr="00512BE3">
        <w:rPr>
          <w:rFonts w:eastAsia="Calibri"/>
          <w:b/>
          <w:bCs/>
          <w:noProof/>
          <w:sz w:val="22"/>
          <w:szCs w:val="22"/>
          <w:lang w:val="sr-Latn-RS" w:eastAsia="en-US"/>
        </w:rPr>
        <w:t xml:space="preserve"> KM ili 17,53% više u odnosu na isti period 2021. godine</w:t>
      </w:r>
      <w:r w:rsidRPr="00512BE3">
        <w:rPr>
          <w:sz w:val="22"/>
          <w:szCs w:val="22"/>
          <w:lang w:val="sr-Latn-RS"/>
        </w:rPr>
        <w:t xml:space="preserve">. U strukturi ukupno prikupljenih prihoda od indirektnih poreza i ostalih prihoda, uplaćenih na Jedinstveni račun najviše je prikupljeno prihoda od poreza na dodanu vrijednost (PDV), u iznosu od </w:t>
      </w:r>
      <w:r w:rsidR="009A0B71" w:rsidRPr="00512BE3">
        <w:rPr>
          <w:sz w:val="22"/>
          <w:szCs w:val="22"/>
          <w:lang w:val="sr-Latn-RS"/>
        </w:rPr>
        <w:t>7 milijardi i 1</w:t>
      </w:r>
      <w:r w:rsidR="00B82480">
        <w:rPr>
          <w:sz w:val="22"/>
          <w:szCs w:val="22"/>
          <w:lang w:val="sr-Latn-RS"/>
        </w:rPr>
        <w:t>97</w:t>
      </w:r>
      <w:r w:rsidR="009A0B71" w:rsidRPr="00512BE3">
        <w:rPr>
          <w:sz w:val="22"/>
          <w:szCs w:val="22"/>
          <w:lang w:val="sr-Latn-RS"/>
        </w:rPr>
        <w:t xml:space="preserve"> miliona KM, koji u ukupnim prihodima učestvuje sa 72,</w:t>
      </w:r>
      <w:r w:rsidR="00B82480">
        <w:rPr>
          <w:sz w:val="22"/>
          <w:szCs w:val="22"/>
          <w:lang w:val="sr-Latn-RS"/>
        </w:rPr>
        <w:t>50</w:t>
      </w:r>
      <w:r w:rsidR="009A0B71" w:rsidRPr="00512BE3">
        <w:rPr>
          <w:sz w:val="22"/>
          <w:szCs w:val="22"/>
          <w:lang w:val="sr-Latn-RS"/>
        </w:rPr>
        <w:t>%</w:t>
      </w:r>
      <w:r w:rsidRPr="00512BE3">
        <w:rPr>
          <w:sz w:val="22"/>
          <w:szCs w:val="22"/>
          <w:lang w:val="sr-Latn-RS"/>
        </w:rPr>
        <w:t xml:space="preserve">, zatim od akciza na uvozne proizvode u iznosu od </w:t>
      </w:r>
      <w:r w:rsidR="009A0B71" w:rsidRPr="00512BE3">
        <w:rPr>
          <w:sz w:val="22"/>
          <w:szCs w:val="22"/>
          <w:lang w:val="sr-Latn-RS"/>
        </w:rPr>
        <w:t>1 milijarde i 560 miliona KM (15,72%)</w:t>
      </w:r>
      <w:r w:rsidRPr="00512BE3">
        <w:rPr>
          <w:sz w:val="22"/>
          <w:szCs w:val="22"/>
          <w:lang w:val="sr-Latn-RS"/>
        </w:rPr>
        <w:t xml:space="preserve">, od putarina na naftu i naftne derivate u iznosu od </w:t>
      </w:r>
      <w:r w:rsidR="009A0B71" w:rsidRPr="00512BE3">
        <w:rPr>
          <w:sz w:val="22"/>
          <w:szCs w:val="22"/>
          <w:lang w:val="sr-Latn-RS"/>
        </w:rPr>
        <w:t>627 miliona KM (6,32%)</w:t>
      </w:r>
      <w:r w:rsidRPr="00512BE3">
        <w:rPr>
          <w:sz w:val="22"/>
          <w:szCs w:val="22"/>
          <w:lang w:val="sr-Latn-RS"/>
        </w:rPr>
        <w:t xml:space="preserve">, od carinskih dažbina u iznosu od </w:t>
      </w:r>
      <w:r w:rsidR="009A0B71" w:rsidRPr="00512BE3">
        <w:rPr>
          <w:sz w:val="22"/>
          <w:szCs w:val="22"/>
          <w:lang w:val="sr-Latn-RS"/>
        </w:rPr>
        <w:t>442 miliona KM (4,45%)</w:t>
      </w:r>
      <w:r w:rsidRPr="00512BE3">
        <w:rPr>
          <w:sz w:val="22"/>
          <w:szCs w:val="22"/>
          <w:lang w:val="sr-Latn-RS"/>
        </w:rPr>
        <w:t xml:space="preserve"> i od akciza na domaće proizvode u iznosu od </w:t>
      </w:r>
      <w:r w:rsidR="009A0B71" w:rsidRPr="00512BE3">
        <w:rPr>
          <w:sz w:val="22"/>
          <w:szCs w:val="22"/>
          <w:lang w:val="sr-Latn-RS"/>
        </w:rPr>
        <w:t>3</w:t>
      </w:r>
      <w:r w:rsidR="00B82480">
        <w:rPr>
          <w:sz w:val="22"/>
          <w:szCs w:val="22"/>
          <w:lang w:val="sr-Latn-RS"/>
        </w:rPr>
        <w:t>4</w:t>
      </w:r>
      <w:r w:rsidR="009A0B71" w:rsidRPr="00512BE3">
        <w:rPr>
          <w:sz w:val="22"/>
          <w:szCs w:val="22"/>
          <w:lang w:val="sr-Latn-RS"/>
        </w:rPr>
        <w:t xml:space="preserve"> miliona KM (0,34%)</w:t>
      </w:r>
      <w:r w:rsidRPr="00512BE3">
        <w:rPr>
          <w:sz w:val="22"/>
          <w:szCs w:val="22"/>
          <w:lang w:val="sr-Latn-RS"/>
        </w:rPr>
        <w:t>.</w:t>
      </w:r>
    </w:p>
    <w:p w14:paraId="45F6CEA5" w14:textId="253327BA" w:rsidR="00AC040F" w:rsidRPr="00512BE3" w:rsidRDefault="0087069B" w:rsidP="0090641C">
      <w:pPr>
        <w:spacing w:after="120"/>
        <w:jc w:val="both"/>
        <w:rPr>
          <w:sz w:val="22"/>
          <w:szCs w:val="22"/>
          <w:lang w:val="sr-Latn-RS"/>
        </w:rPr>
      </w:pPr>
      <w:r w:rsidRPr="00512BE3">
        <w:rPr>
          <w:b/>
          <w:i/>
          <w:sz w:val="22"/>
          <w:szCs w:val="22"/>
          <w:lang w:val="bs-Latn-BA"/>
        </w:rPr>
        <w:lastRenderedPageBreak/>
        <w:t xml:space="preserve">Grafikon 1: </w:t>
      </w:r>
      <w:r w:rsidRPr="00512BE3">
        <w:rPr>
          <w:b/>
          <w:bCs/>
          <w:i/>
          <w:iCs/>
          <w:sz w:val="22"/>
          <w:szCs w:val="22"/>
        </w:rPr>
        <w:t>Pregled naplaćenih (usklađenih) bruto prihoda po vrs</w:t>
      </w:r>
      <w:r w:rsidR="0090641C" w:rsidRPr="00512BE3">
        <w:rPr>
          <w:b/>
          <w:bCs/>
          <w:i/>
          <w:iCs/>
          <w:sz w:val="22"/>
          <w:szCs w:val="22"/>
        </w:rPr>
        <w:t>tama u periodu 01.01.-31.12.2021/2022</w:t>
      </w:r>
      <w:r w:rsidR="0090641C" w:rsidRPr="00512BE3">
        <w:rPr>
          <w:b/>
          <w:bCs/>
          <w:i/>
          <w:iCs/>
          <w:noProof/>
          <w:sz w:val="22"/>
          <w:szCs w:val="22"/>
          <w:lang w:val="bs-Latn-BA" w:eastAsia="bs-Latn-BA"/>
        </w:rPr>
        <w:drawing>
          <wp:inline distT="0" distB="0" distL="0" distR="0" wp14:anchorId="66C04222" wp14:editId="1D321FDD">
            <wp:extent cx="5650230" cy="292435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098" cy="2997781"/>
                    </a:xfrm>
                    <a:prstGeom prst="rect">
                      <a:avLst/>
                    </a:prstGeom>
                    <a:noFill/>
                  </pic:spPr>
                </pic:pic>
              </a:graphicData>
            </a:graphic>
          </wp:inline>
        </w:drawing>
      </w:r>
    </w:p>
    <w:p w14:paraId="2862765F" w14:textId="16CB894D" w:rsidR="00935BC0" w:rsidRPr="00512BE3" w:rsidRDefault="00935BC0" w:rsidP="00935BC0">
      <w:pPr>
        <w:rPr>
          <w:b/>
          <w:i/>
          <w:noProof/>
          <w:sz w:val="22"/>
          <w:szCs w:val="20"/>
          <w:lang w:val="en-GB" w:eastAsia="en-GB"/>
        </w:rPr>
      </w:pPr>
      <w:r w:rsidRPr="00512BE3">
        <w:rPr>
          <w:b/>
          <w:i/>
          <w:noProof/>
          <w:sz w:val="22"/>
          <w:szCs w:val="20"/>
          <w:lang w:val="en-GB" w:eastAsia="en-GB"/>
        </w:rPr>
        <w:t>Grafikon 2: Udio pojedinih vrsta prihoda u ukupnim bruto prihodima UIO u period</w:t>
      </w:r>
      <w:r w:rsidR="0090641C" w:rsidRPr="00512BE3">
        <w:rPr>
          <w:b/>
          <w:i/>
          <w:noProof/>
          <w:sz w:val="22"/>
          <w:szCs w:val="20"/>
          <w:lang w:val="en-GB" w:eastAsia="en-GB"/>
        </w:rPr>
        <w:t>u 01.01-31.12.2022</w:t>
      </w:r>
      <w:r w:rsidRPr="00512BE3">
        <w:rPr>
          <w:b/>
          <w:i/>
          <w:noProof/>
          <w:sz w:val="22"/>
          <w:szCs w:val="20"/>
          <w:lang w:val="en-GB" w:eastAsia="en-GB"/>
        </w:rPr>
        <w:t>.</w:t>
      </w:r>
    </w:p>
    <w:p w14:paraId="6463D999" w14:textId="7F602BEC" w:rsidR="008E3E10" w:rsidRPr="00512BE3" w:rsidRDefault="00570C55" w:rsidP="008E3E10">
      <w:r w:rsidRPr="00512BE3">
        <w:rPr>
          <w:noProof/>
          <w:lang w:val="bs-Latn-BA" w:eastAsia="bs-Latn-BA"/>
        </w:rPr>
        <w:drawing>
          <wp:inline distT="0" distB="0" distL="0" distR="0" wp14:anchorId="2781F85E" wp14:editId="010B83E5">
            <wp:extent cx="5673090" cy="3153600"/>
            <wp:effectExtent l="0" t="0" r="381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9FC089" w14:textId="560625BC" w:rsidR="009E0951" w:rsidRPr="00512BE3" w:rsidRDefault="0090641C" w:rsidP="000765DD">
      <w:pPr>
        <w:ind w:firstLine="709"/>
        <w:jc w:val="both"/>
        <w:rPr>
          <w:rFonts w:eastAsia="Calibri"/>
          <w:b/>
          <w:i/>
          <w:sz w:val="22"/>
          <w:szCs w:val="22"/>
          <w:lang w:val="bs-Latn-BA" w:eastAsia="en-GB"/>
        </w:rPr>
      </w:pPr>
      <w:r w:rsidRPr="00512BE3">
        <w:rPr>
          <w:rFonts w:eastAsia="Calibri"/>
          <w:sz w:val="22"/>
          <w:szCs w:val="22"/>
          <w:lang w:val="bs-Latn-BA" w:eastAsia="en-GB"/>
        </w:rPr>
        <w:t>U periodu 01.01.-31.12.2022</w:t>
      </w:r>
      <w:r w:rsidR="009E0951" w:rsidRPr="00512BE3">
        <w:rPr>
          <w:rFonts w:eastAsia="Calibri"/>
          <w:sz w:val="22"/>
          <w:szCs w:val="22"/>
          <w:lang w:val="bs-Latn-BA" w:eastAsia="en-GB"/>
        </w:rPr>
        <w:t xml:space="preserve">. godine prihodi po osnovu carinskih dažbina su veći za </w:t>
      </w:r>
      <w:r w:rsidRPr="00512BE3">
        <w:rPr>
          <w:rFonts w:eastAsia="Calibri"/>
          <w:sz w:val="22"/>
          <w:szCs w:val="22"/>
          <w:lang w:val="bs-Latn-BA" w:eastAsia="en-GB"/>
        </w:rPr>
        <w:t>31,34</w:t>
      </w:r>
      <w:r w:rsidR="009E0951" w:rsidRPr="00512BE3">
        <w:rPr>
          <w:rFonts w:eastAsia="Calibri"/>
          <w:sz w:val="22"/>
          <w:szCs w:val="22"/>
          <w:lang w:val="bs-Latn-BA" w:eastAsia="en-GB"/>
        </w:rPr>
        <w:t xml:space="preserve">%, odnosno za cca </w:t>
      </w:r>
      <w:r w:rsidRPr="00512BE3">
        <w:rPr>
          <w:rFonts w:eastAsia="Calibri"/>
          <w:sz w:val="22"/>
          <w:szCs w:val="22"/>
          <w:lang w:val="bs-Latn-BA" w:eastAsia="en-GB"/>
        </w:rPr>
        <w:t>105</w:t>
      </w:r>
      <w:r w:rsidR="009E0951" w:rsidRPr="00512BE3">
        <w:rPr>
          <w:rFonts w:eastAsia="Calibri"/>
          <w:sz w:val="22"/>
          <w:szCs w:val="22"/>
          <w:lang w:val="bs-Latn-BA" w:eastAsia="en-GB"/>
        </w:rPr>
        <w:t xml:space="preserve"> mili</w:t>
      </w:r>
      <w:r w:rsidRPr="00512BE3">
        <w:rPr>
          <w:rFonts w:eastAsia="Calibri"/>
          <w:sz w:val="22"/>
          <w:szCs w:val="22"/>
          <w:lang w:val="bs-Latn-BA" w:eastAsia="en-GB"/>
        </w:rPr>
        <w:t>ona, u odnosu na prihode iz 2021</w:t>
      </w:r>
      <w:r w:rsidR="009E0951" w:rsidRPr="00512BE3">
        <w:rPr>
          <w:rFonts w:eastAsia="Calibri"/>
          <w:sz w:val="22"/>
          <w:szCs w:val="22"/>
          <w:lang w:val="bs-Latn-BA" w:eastAsia="en-GB"/>
        </w:rPr>
        <w:t>. godine.</w:t>
      </w:r>
    </w:p>
    <w:p w14:paraId="2DE7F6BA" w14:textId="53659C76" w:rsidR="009E0951" w:rsidRPr="00512BE3" w:rsidRDefault="009E0951" w:rsidP="000765DD">
      <w:pPr>
        <w:ind w:firstLine="709"/>
        <w:jc w:val="both"/>
        <w:rPr>
          <w:rFonts w:eastAsia="Calibri"/>
          <w:sz w:val="22"/>
          <w:szCs w:val="22"/>
          <w:lang w:val="en-US" w:eastAsia="en-GB"/>
        </w:rPr>
      </w:pPr>
      <w:r w:rsidRPr="00512BE3">
        <w:rPr>
          <w:rFonts w:eastAsia="Calibri"/>
          <w:sz w:val="22"/>
          <w:szCs w:val="22"/>
          <w:lang w:val="bs-Latn-BA" w:eastAsia="en-GB"/>
        </w:rPr>
        <w:t xml:space="preserve">Naplaćeni prihod od PDV-a pri uvozu roba, u izvještajnom periodu, bilježi rast za </w:t>
      </w:r>
      <w:r w:rsidR="00CC7460" w:rsidRPr="00512BE3">
        <w:rPr>
          <w:rFonts w:eastAsia="Calibri"/>
          <w:sz w:val="22"/>
          <w:szCs w:val="22"/>
          <w:lang w:val="bs-Latn-BA" w:eastAsia="en-GB"/>
        </w:rPr>
        <w:t>29,36</w:t>
      </w:r>
      <w:r w:rsidRPr="00512BE3">
        <w:rPr>
          <w:rFonts w:eastAsia="Calibri"/>
          <w:sz w:val="22"/>
          <w:szCs w:val="22"/>
          <w:lang w:val="bs-Latn-BA" w:eastAsia="en-GB"/>
        </w:rPr>
        <w:t xml:space="preserve">% odnosno za cca </w:t>
      </w:r>
      <w:r w:rsidR="00CC7460" w:rsidRPr="00512BE3">
        <w:rPr>
          <w:rFonts w:eastAsia="Calibri"/>
          <w:sz w:val="22"/>
          <w:szCs w:val="22"/>
          <w:lang w:val="bs-Latn-BA" w:eastAsia="en-GB"/>
        </w:rPr>
        <w:t>1 milijardu i 69</w:t>
      </w:r>
      <w:r w:rsidRPr="00512BE3">
        <w:rPr>
          <w:rFonts w:eastAsia="Calibri"/>
          <w:sz w:val="22"/>
          <w:szCs w:val="22"/>
          <w:lang w:val="bs-Latn-BA" w:eastAsia="en-GB"/>
        </w:rPr>
        <w:t xml:space="preserve"> miliona KM. Takođe, naplaćeni prihod od PDV-a, koji se odnosi na promet domaćih roba i usluga, u izvještajnom periodu bilježi rast za </w:t>
      </w:r>
      <w:r w:rsidR="00CC7460" w:rsidRPr="00512BE3">
        <w:rPr>
          <w:rFonts w:eastAsia="Calibri"/>
          <w:sz w:val="22"/>
          <w:szCs w:val="22"/>
          <w:lang w:val="bs-Latn-BA" w:eastAsia="en-GB"/>
        </w:rPr>
        <w:t>8,71</w:t>
      </w:r>
      <w:r w:rsidRPr="00512BE3">
        <w:rPr>
          <w:rFonts w:eastAsia="Calibri"/>
          <w:sz w:val="22"/>
          <w:szCs w:val="22"/>
          <w:lang w:val="bs-Latn-BA" w:eastAsia="en-GB"/>
        </w:rPr>
        <w:t xml:space="preserve">% odnosno za cca </w:t>
      </w:r>
      <w:r w:rsidR="00CC7460" w:rsidRPr="00512BE3">
        <w:rPr>
          <w:rFonts w:eastAsia="Calibri"/>
          <w:sz w:val="22"/>
          <w:szCs w:val="22"/>
          <w:lang w:val="bs-Latn-BA" w:eastAsia="en-GB"/>
        </w:rPr>
        <w:t>197</w:t>
      </w:r>
      <w:r w:rsidRPr="00512BE3">
        <w:rPr>
          <w:rFonts w:eastAsia="Calibri"/>
          <w:sz w:val="22"/>
          <w:szCs w:val="22"/>
          <w:lang w:val="bs-Latn-BA" w:eastAsia="en-GB"/>
        </w:rPr>
        <w:t xml:space="preserve"> miliona KM.</w:t>
      </w:r>
      <w:r w:rsidR="000765DD" w:rsidRPr="00512BE3">
        <w:rPr>
          <w:rFonts w:eastAsia="Calibri"/>
          <w:sz w:val="22"/>
          <w:szCs w:val="22"/>
          <w:lang w:val="en-US" w:eastAsia="en-GB"/>
        </w:rPr>
        <w:t xml:space="preserve">  </w:t>
      </w:r>
      <w:r w:rsidRPr="00512BE3">
        <w:rPr>
          <w:rFonts w:eastAsia="Calibri"/>
          <w:sz w:val="22"/>
          <w:szCs w:val="22"/>
          <w:lang w:val="sr-Latn-BA" w:eastAsia="en-GB"/>
        </w:rPr>
        <w:t xml:space="preserve">U periodu od 01.01.- 31.12.2021. godine prikupljeno je ukupno </w:t>
      </w:r>
      <w:r w:rsidR="00CC7460" w:rsidRPr="00512BE3">
        <w:rPr>
          <w:rFonts w:eastAsia="Calibri"/>
          <w:sz w:val="22"/>
          <w:szCs w:val="22"/>
          <w:lang w:val="bs-Latn-BA" w:eastAsia="en-GB"/>
        </w:rPr>
        <w:t>1.593.992.772,30</w:t>
      </w:r>
      <w:r w:rsidRPr="00512BE3">
        <w:rPr>
          <w:rFonts w:eastAsia="Calibri"/>
          <w:sz w:val="22"/>
          <w:szCs w:val="22"/>
          <w:lang w:val="bs-Latn-BA" w:eastAsia="en-GB"/>
        </w:rPr>
        <w:t xml:space="preserve"> </w:t>
      </w:r>
      <w:r w:rsidRPr="00512BE3">
        <w:rPr>
          <w:rFonts w:eastAsia="Calibri"/>
          <w:sz w:val="22"/>
          <w:szCs w:val="22"/>
          <w:lang w:val="sr-Latn-BA" w:eastAsia="en-GB"/>
        </w:rPr>
        <w:t xml:space="preserve">KM po osnovu akcize na domaće i uvozne proizvode, što je za </w:t>
      </w:r>
      <w:r w:rsidR="00CC7460" w:rsidRPr="00512BE3">
        <w:rPr>
          <w:rFonts w:eastAsia="Calibri"/>
          <w:sz w:val="22"/>
          <w:szCs w:val="22"/>
          <w:lang w:val="sr-Latn-BA" w:eastAsia="en-GB"/>
        </w:rPr>
        <w:t>7,13</w:t>
      </w:r>
      <w:r w:rsidRPr="00512BE3">
        <w:rPr>
          <w:rFonts w:eastAsia="Calibri"/>
          <w:sz w:val="22"/>
          <w:szCs w:val="22"/>
          <w:lang w:val="sr-Latn-BA" w:eastAsia="en-GB"/>
        </w:rPr>
        <w:t>% više u odnosu n</w:t>
      </w:r>
      <w:r w:rsidR="000765DD" w:rsidRPr="00512BE3">
        <w:rPr>
          <w:rFonts w:eastAsia="Calibri"/>
          <w:sz w:val="22"/>
          <w:szCs w:val="22"/>
          <w:lang w:val="sr-Latn-BA" w:eastAsia="en-GB"/>
        </w:rPr>
        <w:t xml:space="preserve">a isti period prethodne godine. </w:t>
      </w:r>
      <w:r w:rsidRPr="00512BE3">
        <w:rPr>
          <w:rFonts w:eastAsia="Calibri"/>
          <w:sz w:val="22"/>
          <w:szCs w:val="22"/>
          <w:lang w:val="sr-Latn-BA" w:eastAsia="en-GB"/>
        </w:rPr>
        <w:t xml:space="preserve">Akciza na uvozne proizvode čini </w:t>
      </w:r>
      <w:r w:rsidR="00CC7460" w:rsidRPr="00512BE3">
        <w:rPr>
          <w:rFonts w:eastAsia="Calibri"/>
          <w:sz w:val="22"/>
          <w:szCs w:val="22"/>
          <w:lang w:val="sr-Latn-BA" w:eastAsia="en-GB"/>
        </w:rPr>
        <w:t>15,72</w:t>
      </w:r>
      <w:r w:rsidRPr="00512BE3">
        <w:rPr>
          <w:rFonts w:eastAsia="Calibri"/>
          <w:sz w:val="22"/>
          <w:szCs w:val="22"/>
          <w:lang w:val="sr-Latn-BA" w:eastAsia="en-GB"/>
        </w:rPr>
        <w:t>% od ukupno prikupljenih prihoda</w:t>
      </w:r>
      <w:r w:rsidR="00843484" w:rsidRPr="00C23C68">
        <w:rPr>
          <w:rFonts w:eastAsia="Calibri"/>
          <w:sz w:val="22"/>
          <w:szCs w:val="22"/>
          <w:lang w:val="sr-Latn-BA" w:eastAsia="en-GB"/>
        </w:rPr>
        <w:t>,</w:t>
      </w:r>
      <w:r w:rsidRPr="00512BE3">
        <w:rPr>
          <w:rFonts w:eastAsia="Calibri"/>
          <w:sz w:val="22"/>
          <w:szCs w:val="22"/>
          <w:lang w:val="sr-Latn-BA" w:eastAsia="en-GB"/>
        </w:rPr>
        <w:t xml:space="preserve"> dok akciza na domaće proizvode čini </w:t>
      </w:r>
      <w:r w:rsidR="00CC7460" w:rsidRPr="00512BE3">
        <w:rPr>
          <w:rFonts w:eastAsia="Calibri"/>
          <w:sz w:val="22"/>
          <w:szCs w:val="22"/>
          <w:lang w:val="sr-Latn-BA" w:eastAsia="en-GB"/>
        </w:rPr>
        <w:t>0,34</w:t>
      </w:r>
      <w:r w:rsidRPr="00512BE3">
        <w:rPr>
          <w:rFonts w:eastAsia="Calibri"/>
          <w:sz w:val="22"/>
          <w:szCs w:val="22"/>
          <w:lang w:val="sr-Latn-BA" w:eastAsia="en-GB"/>
        </w:rPr>
        <w:t xml:space="preserve">%. U izvještajnom periodu u poređenju sa prethodnom godinom akciza na uvozne proizvode veća je za </w:t>
      </w:r>
      <w:r w:rsidR="00CC7460" w:rsidRPr="00512BE3">
        <w:rPr>
          <w:rFonts w:eastAsia="Calibri"/>
          <w:sz w:val="22"/>
          <w:szCs w:val="22"/>
          <w:lang w:val="sr-Latn-BA" w:eastAsia="en-GB"/>
        </w:rPr>
        <w:t>11,54</w:t>
      </w:r>
      <w:r w:rsidRPr="00512BE3">
        <w:rPr>
          <w:rFonts w:eastAsia="Calibri"/>
          <w:sz w:val="22"/>
          <w:szCs w:val="22"/>
          <w:lang w:val="sr-Latn-BA" w:eastAsia="en-GB"/>
        </w:rPr>
        <w:t xml:space="preserve">% (u apsolutnom iznosu za </w:t>
      </w:r>
      <w:r w:rsidR="00CC7460" w:rsidRPr="00512BE3">
        <w:rPr>
          <w:rFonts w:eastAsia="Calibri"/>
          <w:sz w:val="22"/>
          <w:szCs w:val="22"/>
          <w:lang w:val="bs-Latn-BA" w:eastAsia="en-GB"/>
        </w:rPr>
        <w:t>161.355.040,00</w:t>
      </w:r>
      <w:r w:rsidRPr="00512BE3">
        <w:rPr>
          <w:rFonts w:eastAsia="Calibri"/>
          <w:sz w:val="22"/>
          <w:szCs w:val="22"/>
          <w:lang w:val="bs-Latn-BA" w:eastAsia="en-GB"/>
        </w:rPr>
        <w:t xml:space="preserve"> </w:t>
      </w:r>
      <w:r w:rsidRPr="00512BE3">
        <w:rPr>
          <w:rFonts w:eastAsia="Calibri"/>
          <w:sz w:val="22"/>
          <w:szCs w:val="22"/>
          <w:lang w:val="sr-Latn-BA" w:eastAsia="en-GB"/>
        </w:rPr>
        <w:t xml:space="preserve">KM), </w:t>
      </w:r>
      <w:r w:rsidR="00CC7460" w:rsidRPr="00512BE3">
        <w:rPr>
          <w:rFonts w:eastAsia="Calibri"/>
          <w:sz w:val="22"/>
          <w:szCs w:val="22"/>
          <w:lang w:val="sr-Latn-BA" w:eastAsia="en-GB"/>
        </w:rPr>
        <w:t>dok je sa druge strane</w:t>
      </w:r>
      <w:r w:rsidRPr="00512BE3">
        <w:rPr>
          <w:rFonts w:eastAsia="Calibri"/>
          <w:sz w:val="22"/>
          <w:szCs w:val="22"/>
          <w:lang w:val="sr-Latn-BA" w:eastAsia="en-GB"/>
        </w:rPr>
        <w:t xml:space="preserve"> akciza na domaće proizvode </w:t>
      </w:r>
      <w:r w:rsidR="00CC7460" w:rsidRPr="00512BE3">
        <w:rPr>
          <w:rFonts w:eastAsia="Calibri"/>
          <w:sz w:val="22"/>
          <w:szCs w:val="22"/>
          <w:lang w:val="sr-Latn-BA" w:eastAsia="en-GB"/>
        </w:rPr>
        <w:t>manja</w:t>
      </w:r>
      <w:r w:rsidRPr="00512BE3">
        <w:rPr>
          <w:rFonts w:eastAsia="Calibri"/>
          <w:sz w:val="22"/>
          <w:szCs w:val="22"/>
          <w:lang w:val="sr-Latn-BA" w:eastAsia="en-GB"/>
        </w:rPr>
        <w:t xml:space="preserve"> za </w:t>
      </w:r>
      <w:r w:rsidR="00CC7460" w:rsidRPr="00512BE3">
        <w:rPr>
          <w:rFonts w:eastAsia="Calibri"/>
          <w:sz w:val="22"/>
          <w:szCs w:val="22"/>
          <w:lang w:val="sr-Latn-BA" w:eastAsia="en-GB"/>
        </w:rPr>
        <w:t>62,02</w:t>
      </w:r>
      <w:r w:rsidRPr="00512BE3">
        <w:rPr>
          <w:rFonts w:eastAsia="Calibri"/>
          <w:sz w:val="22"/>
          <w:szCs w:val="22"/>
          <w:lang w:val="sr-Latn-BA" w:eastAsia="en-GB"/>
        </w:rPr>
        <w:t xml:space="preserve">% (ili u apsolutnom iznosu za </w:t>
      </w:r>
      <w:r w:rsidR="00CC7460" w:rsidRPr="00512BE3">
        <w:rPr>
          <w:rFonts w:eastAsia="Calibri"/>
          <w:sz w:val="22"/>
          <w:szCs w:val="22"/>
          <w:lang w:val="bs-Latn-BA" w:eastAsia="en-GB"/>
        </w:rPr>
        <w:t>55.269.122,41</w:t>
      </w:r>
      <w:r w:rsidRPr="00512BE3">
        <w:rPr>
          <w:rFonts w:eastAsia="Calibri"/>
          <w:sz w:val="22"/>
          <w:szCs w:val="22"/>
          <w:lang w:val="bs-Latn-BA" w:eastAsia="en-GB"/>
        </w:rPr>
        <w:t xml:space="preserve"> </w:t>
      </w:r>
      <w:r w:rsidRPr="00512BE3">
        <w:rPr>
          <w:rFonts w:eastAsia="Calibri"/>
          <w:sz w:val="22"/>
          <w:szCs w:val="22"/>
          <w:lang w:val="sr-Latn-BA" w:eastAsia="en-GB"/>
        </w:rPr>
        <w:t>KM).</w:t>
      </w:r>
      <w:r w:rsidR="000765DD" w:rsidRPr="00512BE3">
        <w:rPr>
          <w:rFonts w:eastAsia="Calibri"/>
          <w:sz w:val="22"/>
          <w:szCs w:val="22"/>
          <w:lang w:val="en-US" w:eastAsia="en-GB"/>
        </w:rPr>
        <w:t xml:space="preserve"> </w:t>
      </w:r>
      <w:r w:rsidR="00CC7460" w:rsidRPr="00512BE3">
        <w:rPr>
          <w:rFonts w:eastAsia="Calibri"/>
          <w:sz w:val="22"/>
          <w:szCs w:val="22"/>
          <w:lang w:val="bs-Latn-BA" w:eastAsia="en-GB"/>
        </w:rPr>
        <w:t>A</w:t>
      </w:r>
      <w:r w:rsidRPr="00512BE3">
        <w:rPr>
          <w:rFonts w:eastAsia="Calibri"/>
          <w:sz w:val="22"/>
          <w:szCs w:val="22"/>
          <w:lang w:val="bs-Latn-BA" w:eastAsia="en-GB"/>
        </w:rPr>
        <w:t>kciza na uvozne duvanske prerađevine</w:t>
      </w:r>
      <w:r w:rsidR="00CC7460" w:rsidRPr="00512BE3">
        <w:rPr>
          <w:rFonts w:eastAsia="Calibri"/>
          <w:sz w:val="22"/>
          <w:szCs w:val="22"/>
          <w:lang w:val="bs-Latn-BA" w:eastAsia="en-GB"/>
        </w:rPr>
        <w:t xml:space="preserve"> </w:t>
      </w:r>
      <w:r w:rsidRPr="00512BE3">
        <w:rPr>
          <w:rFonts w:eastAsia="Calibri"/>
          <w:sz w:val="22"/>
          <w:szCs w:val="22"/>
          <w:lang w:val="bs-Latn-BA" w:eastAsia="en-GB"/>
        </w:rPr>
        <w:t xml:space="preserve">u izvještajnom periodu veća </w:t>
      </w:r>
      <w:r w:rsidR="00CC7460" w:rsidRPr="00512BE3">
        <w:rPr>
          <w:rFonts w:eastAsia="Calibri"/>
          <w:sz w:val="22"/>
          <w:szCs w:val="22"/>
          <w:lang w:val="bs-Latn-BA" w:eastAsia="en-GB"/>
        </w:rPr>
        <w:t xml:space="preserve">je </w:t>
      </w:r>
      <w:r w:rsidRPr="00512BE3">
        <w:rPr>
          <w:rFonts w:eastAsia="Calibri"/>
          <w:sz w:val="22"/>
          <w:szCs w:val="22"/>
          <w:lang w:val="bs-Latn-BA" w:eastAsia="en-GB"/>
        </w:rPr>
        <w:t>za</w:t>
      </w:r>
      <w:r w:rsidR="00607B7B" w:rsidRPr="00512BE3">
        <w:rPr>
          <w:rFonts w:eastAsia="Calibri"/>
          <w:sz w:val="22"/>
          <w:szCs w:val="22"/>
          <w:lang w:val="bs-Latn-BA" w:eastAsia="en-GB"/>
        </w:rPr>
        <w:t xml:space="preserve"> 23,35%, odnosno za</w:t>
      </w:r>
      <w:r w:rsidRPr="00512BE3">
        <w:rPr>
          <w:rFonts w:eastAsia="Calibri"/>
          <w:sz w:val="22"/>
          <w:szCs w:val="22"/>
          <w:lang w:val="bs-Latn-BA" w:eastAsia="en-GB"/>
        </w:rPr>
        <w:t xml:space="preserve"> cca 1</w:t>
      </w:r>
      <w:r w:rsidR="00CC7460" w:rsidRPr="00512BE3">
        <w:rPr>
          <w:rFonts w:eastAsia="Calibri"/>
          <w:sz w:val="22"/>
          <w:szCs w:val="22"/>
          <w:lang w:val="bs-Latn-BA" w:eastAsia="en-GB"/>
        </w:rPr>
        <w:t>77</w:t>
      </w:r>
      <w:r w:rsidRPr="00512BE3">
        <w:rPr>
          <w:rFonts w:eastAsia="Calibri"/>
          <w:sz w:val="22"/>
          <w:szCs w:val="22"/>
          <w:lang w:val="bs-Latn-BA" w:eastAsia="en-GB"/>
        </w:rPr>
        <w:t xml:space="preserve"> miliona </w:t>
      </w:r>
      <w:r w:rsidR="00607B7B" w:rsidRPr="00512BE3">
        <w:rPr>
          <w:rFonts w:eastAsia="Calibri"/>
          <w:sz w:val="22"/>
          <w:szCs w:val="22"/>
          <w:lang w:val="bs-Latn-BA" w:eastAsia="en-GB"/>
        </w:rPr>
        <w:t>KM u odnosu na prethodnu godinu, dok su prihodi po osnovu akciza na domaći duvan i duvanske prerađevine u izvještajnom periodu manji za 96,31% odnosno za 52 miliona KM u odnosu na prethodnu godinu.</w:t>
      </w:r>
    </w:p>
    <w:p w14:paraId="36F10DE5" w14:textId="77777777" w:rsidR="009E0951" w:rsidRPr="00512BE3" w:rsidRDefault="009E0951" w:rsidP="00FE09DB">
      <w:pPr>
        <w:jc w:val="both"/>
        <w:rPr>
          <w:rFonts w:eastAsia="Calibri"/>
          <w:sz w:val="22"/>
          <w:szCs w:val="22"/>
          <w:lang w:val="bs-Latn-BA" w:eastAsia="en-GB"/>
        </w:rPr>
      </w:pPr>
    </w:p>
    <w:p w14:paraId="1CCB8AEE" w14:textId="5E70668B" w:rsidR="00AF5FFB" w:rsidRPr="00512BE3" w:rsidRDefault="00620F89" w:rsidP="00620F89">
      <w:pPr>
        <w:spacing w:after="40"/>
        <w:jc w:val="both"/>
        <w:rPr>
          <w:b/>
          <w:i/>
          <w:noProof/>
          <w:sz w:val="22"/>
          <w:szCs w:val="22"/>
          <w:lang w:val="en-GB" w:eastAsia="en-GB"/>
        </w:rPr>
      </w:pPr>
      <w:r w:rsidRPr="00512BE3">
        <w:rPr>
          <w:b/>
          <w:i/>
          <w:noProof/>
          <w:sz w:val="22"/>
          <w:szCs w:val="22"/>
          <w:lang w:val="en-GB" w:eastAsia="en-GB"/>
        </w:rPr>
        <w:lastRenderedPageBreak/>
        <w:t>Tabela 1: Pregled izdatih akciznih markica za domaće i uvozne duvanske prerađevine i duvan za pušenje</w:t>
      </w:r>
      <w:r w:rsidR="00AF5FFB" w:rsidRPr="00512BE3">
        <w:rPr>
          <w:noProof/>
          <w:lang w:val="en-GB" w:eastAsia="en-GB"/>
        </w:rPr>
        <w:fldChar w:fldCharType="begin"/>
      </w:r>
      <w:r w:rsidR="00AF5FFB" w:rsidRPr="00512BE3">
        <w:rPr>
          <w:noProof/>
          <w:lang w:val="en-GB" w:eastAsia="en-GB"/>
        </w:rPr>
        <w:instrText xml:space="preserve"> LINK </w:instrText>
      </w:r>
      <w:r w:rsidR="00C23C68">
        <w:rPr>
          <w:noProof/>
          <w:lang w:val="en-GB" w:eastAsia="en-GB"/>
        </w:rPr>
        <w:instrText xml:space="preserve">Excel.Sheet.8 "C:\\Users\\mrkelmi\\Documents\\2022\\Podatci\\MARKICE - izvještaj 2022.xls" 2022!R24C2:R26C6 </w:instrText>
      </w:r>
      <w:r w:rsidR="00AF5FFB" w:rsidRPr="00512BE3">
        <w:rPr>
          <w:noProof/>
          <w:lang w:val="en-GB" w:eastAsia="en-GB"/>
        </w:rPr>
        <w:instrText xml:space="preserve">\a \f 4 \h  \* MERGEFORMAT </w:instrText>
      </w:r>
      <w:r w:rsidR="00AF5FFB" w:rsidRPr="00512BE3">
        <w:rPr>
          <w:noProof/>
          <w:lang w:val="en-GB" w:eastAsia="en-GB"/>
        </w:rPr>
        <w:fldChar w:fldCharType="separate"/>
      </w:r>
    </w:p>
    <w:tbl>
      <w:tblPr>
        <w:tblW w:w="9050" w:type="dxa"/>
        <w:tblLook w:val="04A0" w:firstRow="1" w:lastRow="0" w:firstColumn="1" w:lastColumn="0" w:noHBand="0" w:noVBand="1"/>
      </w:tblPr>
      <w:tblGrid>
        <w:gridCol w:w="2258"/>
        <w:gridCol w:w="3402"/>
        <w:gridCol w:w="3390"/>
      </w:tblGrid>
      <w:tr w:rsidR="00AF5FFB" w:rsidRPr="00512BE3" w14:paraId="01AB070F" w14:textId="77777777" w:rsidTr="002677A6">
        <w:trPr>
          <w:trHeight w:val="580"/>
        </w:trPr>
        <w:tc>
          <w:tcPr>
            <w:tcW w:w="225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4663CF0" w14:textId="49D573E2" w:rsidR="00AF5FFB" w:rsidRPr="00512BE3" w:rsidRDefault="00AF5FFB" w:rsidP="00AF5FFB">
            <w:pPr>
              <w:rPr>
                <w:i/>
                <w:iCs/>
                <w:sz w:val="20"/>
                <w:szCs w:val="20"/>
                <w:lang w:val="sr-Latn-BA" w:eastAsia="sr-Latn-BA"/>
              </w:rPr>
            </w:pPr>
            <w:r w:rsidRPr="00512BE3">
              <w:rPr>
                <w:i/>
                <w:iCs/>
                <w:sz w:val="20"/>
                <w:szCs w:val="20"/>
                <w:lang w:val="sr-Latn-BA" w:eastAsia="sr-Latn-BA"/>
              </w:rPr>
              <w:t> </w:t>
            </w:r>
          </w:p>
        </w:tc>
        <w:tc>
          <w:tcPr>
            <w:tcW w:w="3402" w:type="dxa"/>
            <w:tcBorders>
              <w:top w:val="single" w:sz="8" w:space="0" w:color="auto"/>
              <w:left w:val="nil"/>
              <w:bottom w:val="single" w:sz="8" w:space="0" w:color="auto"/>
              <w:right w:val="single" w:sz="8" w:space="0" w:color="000000"/>
            </w:tcBorders>
            <w:shd w:val="clear" w:color="000000" w:fill="FBE4D5"/>
            <w:vAlign w:val="center"/>
            <w:hideMark/>
          </w:tcPr>
          <w:p w14:paraId="213C9456" w14:textId="77777777" w:rsidR="00AF5FFB" w:rsidRPr="00512BE3" w:rsidRDefault="00AF5FFB" w:rsidP="00AF5FFB">
            <w:pPr>
              <w:jc w:val="center"/>
              <w:rPr>
                <w:b/>
                <w:bCs/>
                <w:sz w:val="20"/>
                <w:szCs w:val="20"/>
                <w:lang w:val="sr-Latn-BA" w:eastAsia="sr-Latn-BA"/>
              </w:rPr>
            </w:pPr>
            <w:r w:rsidRPr="00512BE3">
              <w:rPr>
                <w:b/>
                <w:bCs/>
                <w:sz w:val="20"/>
                <w:szCs w:val="20"/>
                <w:lang w:val="sr-Latn-BA" w:eastAsia="sr-Latn-BA"/>
              </w:rPr>
              <w:t>AKCIZNE MARKICE ZA DUVANSKE PRERAĐEVINE</w:t>
            </w:r>
          </w:p>
        </w:tc>
        <w:tc>
          <w:tcPr>
            <w:tcW w:w="3390" w:type="dxa"/>
            <w:tcBorders>
              <w:top w:val="single" w:sz="8" w:space="0" w:color="auto"/>
              <w:left w:val="nil"/>
              <w:bottom w:val="single" w:sz="8" w:space="0" w:color="auto"/>
              <w:right w:val="single" w:sz="8" w:space="0" w:color="000000"/>
            </w:tcBorders>
            <w:shd w:val="clear" w:color="000000" w:fill="DEEAF6"/>
            <w:vAlign w:val="center"/>
            <w:hideMark/>
          </w:tcPr>
          <w:p w14:paraId="2C137638" w14:textId="77777777" w:rsidR="00AF5FFB" w:rsidRPr="00512BE3" w:rsidRDefault="00AF5FFB" w:rsidP="00AF5FFB">
            <w:pPr>
              <w:jc w:val="center"/>
              <w:rPr>
                <w:b/>
                <w:bCs/>
                <w:sz w:val="20"/>
                <w:szCs w:val="20"/>
                <w:lang w:val="sr-Latn-BA" w:eastAsia="sr-Latn-BA"/>
              </w:rPr>
            </w:pPr>
            <w:r w:rsidRPr="00512BE3">
              <w:rPr>
                <w:b/>
                <w:bCs/>
                <w:sz w:val="20"/>
                <w:szCs w:val="20"/>
                <w:lang w:val="sr-Latn-BA" w:eastAsia="sr-Latn-BA"/>
              </w:rPr>
              <w:t>AKCIZNE MARKICE ZA UVOZNI DUVAN ZA PUŠENJE</w:t>
            </w:r>
          </w:p>
        </w:tc>
      </w:tr>
      <w:tr w:rsidR="00AF5FFB" w:rsidRPr="00512BE3" w14:paraId="11027463" w14:textId="77777777" w:rsidTr="002677A6">
        <w:trPr>
          <w:trHeight w:val="525"/>
        </w:trPr>
        <w:tc>
          <w:tcPr>
            <w:tcW w:w="225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93A6D38" w14:textId="77777777" w:rsidR="00AF5FFB" w:rsidRPr="00512BE3" w:rsidRDefault="00AF5FFB" w:rsidP="00AF5FFB">
            <w:pPr>
              <w:rPr>
                <w:b/>
                <w:bCs/>
                <w:sz w:val="20"/>
                <w:szCs w:val="20"/>
                <w:lang w:val="sr-Latn-BA" w:eastAsia="sr-Latn-BA"/>
              </w:rPr>
            </w:pPr>
            <w:r w:rsidRPr="00512BE3">
              <w:rPr>
                <w:b/>
                <w:bCs/>
                <w:sz w:val="20"/>
                <w:szCs w:val="20"/>
                <w:lang w:val="sr-Latn-BA" w:eastAsia="sr-Latn-BA"/>
              </w:rPr>
              <w:t>01.01.2022-31.12.2022</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14:paraId="717CBB9C" w14:textId="77777777" w:rsidR="00AF5FFB" w:rsidRPr="00512BE3" w:rsidRDefault="00AF5FFB" w:rsidP="00AF5FFB">
            <w:pPr>
              <w:jc w:val="center"/>
              <w:rPr>
                <w:sz w:val="20"/>
                <w:szCs w:val="20"/>
                <w:lang w:val="sr-Latn-BA" w:eastAsia="sr-Latn-BA"/>
              </w:rPr>
            </w:pPr>
            <w:r w:rsidRPr="00512BE3">
              <w:rPr>
                <w:sz w:val="20"/>
                <w:szCs w:val="20"/>
                <w:lang w:val="sr-Latn-BA" w:eastAsia="sr-Latn-BA"/>
              </w:rPr>
              <w:t>221.809.578</w:t>
            </w:r>
          </w:p>
        </w:tc>
        <w:tc>
          <w:tcPr>
            <w:tcW w:w="3390" w:type="dxa"/>
            <w:tcBorders>
              <w:top w:val="single" w:sz="8" w:space="0" w:color="auto"/>
              <w:left w:val="nil"/>
              <w:bottom w:val="single" w:sz="8" w:space="0" w:color="auto"/>
              <w:right w:val="single" w:sz="8" w:space="0" w:color="000000"/>
            </w:tcBorders>
            <w:shd w:val="clear" w:color="auto" w:fill="auto"/>
            <w:vAlign w:val="center"/>
            <w:hideMark/>
          </w:tcPr>
          <w:p w14:paraId="59363E57" w14:textId="77777777" w:rsidR="00AF5FFB" w:rsidRPr="00512BE3" w:rsidRDefault="00AF5FFB" w:rsidP="00AF5FFB">
            <w:pPr>
              <w:jc w:val="center"/>
              <w:rPr>
                <w:sz w:val="20"/>
                <w:szCs w:val="20"/>
                <w:lang w:val="sr-Latn-BA" w:eastAsia="sr-Latn-BA"/>
              </w:rPr>
            </w:pPr>
            <w:r w:rsidRPr="00512BE3">
              <w:rPr>
                <w:sz w:val="20"/>
                <w:szCs w:val="20"/>
                <w:lang w:val="sr-Latn-BA" w:eastAsia="sr-Latn-BA"/>
              </w:rPr>
              <w:t>15.100.518</w:t>
            </w:r>
          </w:p>
        </w:tc>
      </w:tr>
    </w:tbl>
    <w:p w14:paraId="50C9F58B" w14:textId="1DE72706" w:rsidR="00702280" w:rsidRPr="00512BE3" w:rsidRDefault="00AF5FFB" w:rsidP="001E2765">
      <w:pPr>
        <w:spacing w:after="40"/>
        <w:jc w:val="both"/>
        <w:rPr>
          <w:b/>
          <w:i/>
          <w:noProof/>
          <w:sz w:val="22"/>
          <w:szCs w:val="22"/>
          <w:lang w:val="en-GB" w:eastAsia="en-GB"/>
        </w:rPr>
      </w:pPr>
      <w:r w:rsidRPr="00512BE3">
        <w:rPr>
          <w:b/>
          <w:i/>
          <w:noProof/>
          <w:sz w:val="22"/>
          <w:szCs w:val="22"/>
          <w:lang w:val="en-GB" w:eastAsia="en-GB"/>
        </w:rPr>
        <w:fldChar w:fldCharType="end"/>
      </w:r>
    </w:p>
    <w:p w14:paraId="6EDDAB5D" w14:textId="4BB44701" w:rsidR="001E2765" w:rsidRPr="00512BE3" w:rsidRDefault="001E2765" w:rsidP="001E2765">
      <w:pPr>
        <w:spacing w:after="40"/>
        <w:jc w:val="both"/>
        <w:rPr>
          <w:rFonts w:eastAsia="Calibri"/>
          <w:sz w:val="22"/>
          <w:szCs w:val="22"/>
          <w:lang w:val="bs-Latn-BA" w:eastAsia="en-GB"/>
        </w:rPr>
      </w:pPr>
      <w:r w:rsidRPr="00512BE3">
        <w:rPr>
          <w:rFonts w:eastAsia="Calibri"/>
          <w:sz w:val="22"/>
          <w:szCs w:val="22"/>
          <w:lang w:val="bs-Latn-BA" w:eastAsia="en-GB"/>
        </w:rPr>
        <w:t xml:space="preserve">Prihodi od </w:t>
      </w:r>
      <w:r w:rsidRPr="00512BE3">
        <w:rPr>
          <w:rFonts w:eastAsia="Calibri"/>
          <w:sz w:val="22"/>
          <w:szCs w:val="22"/>
          <w:lang w:val="en-US" w:eastAsia="en-GB"/>
        </w:rPr>
        <w:t xml:space="preserve">akciza </w:t>
      </w:r>
      <w:r w:rsidR="00D01579" w:rsidRPr="00512BE3">
        <w:rPr>
          <w:rFonts w:eastAsia="Calibri"/>
          <w:sz w:val="22"/>
          <w:szCs w:val="22"/>
          <w:lang w:val="en-US" w:eastAsia="en-GB"/>
        </w:rPr>
        <w:t>na uvozne naftne derivate u 2022</w:t>
      </w:r>
      <w:r w:rsidRPr="00512BE3">
        <w:rPr>
          <w:rFonts w:eastAsia="Calibri"/>
          <w:sz w:val="22"/>
          <w:szCs w:val="22"/>
          <w:lang w:val="en-US" w:eastAsia="en-GB"/>
        </w:rPr>
        <w:t xml:space="preserve">. godini </w:t>
      </w:r>
      <w:r w:rsidR="00D01579" w:rsidRPr="00512BE3">
        <w:rPr>
          <w:rFonts w:eastAsia="Calibri"/>
          <w:sz w:val="22"/>
          <w:szCs w:val="22"/>
          <w:lang w:val="en-US" w:eastAsia="en-GB"/>
        </w:rPr>
        <w:t>manj</w:t>
      </w:r>
      <w:r w:rsidRPr="00512BE3">
        <w:rPr>
          <w:rFonts w:eastAsia="Calibri"/>
          <w:sz w:val="22"/>
          <w:szCs w:val="22"/>
          <w:lang w:val="en-US" w:eastAsia="en-GB"/>
        </w:rPr>
        <w:t>i</w:t>
      </w:r>
      <w:r w:rsidR="00D01579" w:rsidRPr="00512BE3">
        <w:rPr>
          <w:rFonts w:eastAsia="Calibri"/>
          <w:sz w:val="22"/>
          <w:szCs w:val="22"/>
          <w:lang w:val="en-US" w:eastAsia="en-GB"/>
        </w:rPr>
        <w:t xml:space="preserve"> su</w:t>
      </w:r>
      <w:r w:rsidRPr="00512BE3">
        <w:rPr>
          <w:rFonts w:eastAsia="Calibri"/>
          <w:sz w:val="22"/>
          <w:szCs w:val="22"/>
          <w:lang w:val="en-US" w:eastAsia="en-GB"/>
        </w:rPr>
        <w:t xml:space="preserve"> za </w:t>
      </w:r>
      <w:r w:rsidR="00D01579" w:rsidRPr="00512BE3">
        <w:rPr>
          <w:rFonts w:eastAsia="Calibri"/>
          <w:sz w:val="22"/>
          <w:szCs w:val="22"/>
          <w:lang w:val="en-US" w:eastAsia="en-GB"/>
        </w:rPr>
        <w:t>3,04</w:t>
      </w:r>
      <w:r w:rsidRPr="00512BE3">
        <w:rPr>
          <w:rFonts w:eastAsia="Calibri"/>
          <w:sz w:val="22"/>
          <w:szCs w:val="22"/>
          <w:lang w:val="en-US" w:eastAsia="en-GB"/>
        </w:rPr>
        <w:t xml:space="preserve">% ili u apsolutnom iznosu za </w:t>
      </w:r>
      <w:r w:rsidR="00D01579" w:rsidRPr="00512BE3">
        <w:rPr>
          <w:rFonts w:eastAsia="Calibri"/>
          <w:sz w:val="22"/>
          <w:szCs w:val="22"/>
          <w:lang w:val="en-US" w:eastAsia="en-GB"/>
        </w:rPr>
        <w:t>21.448.381,62 KM u odnosu na 2021. godinu, dok prihodi od akciza na domaću naftu i naftne derivate u 2022. godini iznose samo 4.227,60 KM.</w:t>
      </w:r>
    </w:p>
    <w:p w14:paraId="36EBC945" w14:textId="247B6FF0" w:rsidR="004D5929" w:rsidRPr="00512BE3" w:rsidRDefault="001E2765" w:rsidP="001E2765">
      <w:pPr>
        <w:spacing w:after="40"/>
        <w:jc w:val="both"/>
        <w:rPr>
          <w:rFonts w:eastAsia="Calibri"/>
          <w:sz w:val="22"/>
          <w:szCs w:val="22"/>
          <w:lang w:eastAsia="en-GB"/>
        </w:rPr>
      </w:pPr>
      <w:r w:rsidRPr="00512BE3">
        <w:rPr>
          <w:rFonts w:eastAsia="Calibri"/>
          <w:sz w:val="22"/>
          <w:szCs w:val="22"/>
          <w:lang w:eastAsia="en-GB"/>
        </w:rPr>
        <w:t>Grafičkim prikazom ispod predstavljena je obračunata akciza na uvozne naftne derivate u 202</w:t>
      </w:r>
      <w:r w:rsidR="00D01579" w:rsidRPr="00512BE3">
        <w:rPr>
          <w:rFonts w:eastAsia="Calibri"/>
          <w:sz w:val="22"/>
          <w:szCs w:val="22"/>
          <w:lang w:eastAsia="en-GB"/>
        </w:rPr>
        <w:t>2</w:t>
      </w:r>
      <w:r w:rsidRPr="00512BE3">
        <w:rPr>
          <w:rFonts w:eastAsia="Calibri"/>
          <w:sz w:val="22"/>
          <w:szCs w:val="22"/>
          <w:lang w:eastAsia="en-GB"/>
        </w:rPr>
        <w:t>. go</w:t>
      </w:r>
      <w:r w:rsidR="00D01579" w:rsidRPr="00512BE3">
        <w:rPr>
          <w:rFonts w:eastAsia="Calibri"/>
          <w:sz w:val="22"/>
          <w:szCs w:val="22"/>
          <w:lang w:eastAsia="en-GB"/>
        </w:rPr>
        <w:t>dini i poređenje sa 2021</w:t>
      </w:r>
      <w:r w:rsidR="00AB05E3" w:rsidRPr="00512BE3">
        <w:rPr>
          <w:rFonts w:eastAsia="Calibri"/>
          <w:sz w:val="22"/>
          <w:szCs w:val="22"/>
          <w:lang w:eastAsia="en-GB"/>
        </w:rPr>
        <w:t>. godinom</w:t>
      </w:r>
      <w:r w:rsidR="007803C9" w:rsidRPr="00512BE3">
        <w:rPr>
          <w:rFonts w:eastAsia="Calibri"/>
          <w:sz w:val="22"/>
          <w:szCs w:val="22"/>
          <w:lang w:eastAsia="en-GB"/>
        </w:rPr>
        <w:t xml:space="preserve">. </w:t>
      </w:r>
    </w:p>
    <w:p w14:paraId="0E951D68" w14:textId="77777777" w:rsidR="003F7E1A" w:rsidRPr="00512BE3" w:rsidRDefault="003F7E1A" w:rsidP="004D5929">
      <w:pPr>
        <w:spacing w:after="40"/>
        <w:jc w:val="both"/>
        <w:rPr>
          <w:i/>
          <w:sz w:val="22"/>
          <w:szCs w:val="22"/>
        </w:rPr>
      </w:pPr>
      <w:r w:rsidRPr="00512BE3">
        <w:rPr>
          <w:b/>
          <w:i/>
          <w:sz w:val="22"/>
          <w:szCs w:val="22"/>
        </w:rPr>
        <w:t xml:space="preserve">Grafikon </w:t>
      </w:r>
      <w:r w:rsidR="005A494C" w:rsidRPr="00512BE3">
        <w:rPr>
          <w:b/>
          <w:i/>
          <w:sz w:val="22"/>
          <w:szCs w:val="22"/>
        </w:rPr>
        <w:t>3</w:t>
      </w:r>
      <w:r w:rsidR="002703F1" w:rsidRPr="00512BE3">
        <w:rPr>
          <w:b/>
          <w:i/>
          <w:sz w:val="22"/>
          <w:szCs w:val="22"/>
        </w:rPr>
        <w:t>:</w:t>
      </w:r>
      <w:r w:rsidR="002703F1" w:rsidRPr="00512BE3">
        <w:rPr>
          <w:i/>
          <w:sz w:val="22"/>
          <w:szCs w:val="22"/>
        </w:rPr>
        <w:t xml:space="preserve"> </w:t>
      </w:r>
      <w:r w:rsidRPr="00512BE3">
        <w:rPr>
          <w:b/>
          <w:i/>
          <w:sz w:val="22"/>
          <w:szCs w:val="22"/>
        </w:rPr>
        <w:t>Obračunata akciza na uvozne naftne derivate</w:t>
      </w:r>
    </w:p>
    <w:p w14:paraId="0995E13F" w14:textId="07449907" w:rsidR="007F0AE8" w:rsidRPr="00512BE3" w:rsidRDefault="007803C9" w:rsidP="003F7E1A">
      <w:pPr>
        <w:jc w:val="both"/>
        <w:rPr>
          <w:noProof/>
          <w:lang w:val="sr-Latn-BA" w:eastAsia="sr-Latn-BA"/>
        </w:rPr>
      </w:pPr>
      <w:r w:rsidRPr="00512BE3">
        <w:rPr>
          <w:noProof/>
          <w:lang w:val="bs-Latn-BA" w:eastAsia="bs-Latn-BA"/>
        </w:rPr>
        <w:drawing>
          <wp:inline distT="0" distB="0" distL="0" distR="0" wp14:anchorId="6DAF5F35" wp14:editId="712537DC">
            <wp:extent cx="5753819" cy="2803525"/>
            <wp:effectExtent l="0" t="0" r="1841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902176" w14:textId="0720EC68" w:rsidR="007803C9" w:rsidRPr="00512BE3" w:rsidRDefault="007803C9" w:rsidP="003F7E1A">
      <w:pPr>
        <w:jc w:val="both"/>
        <w:rPr>
          <w:sz w:val="22"/>
          <w:lang w:val="bs-Latn-BA"/>
        </w:rPr>
      </w:pPr>
    </w:p>
    <w:p w14:paraId="55EEE5C8" w14:textId="77777777" w:rsidR="003A1DE1" w:rsidRPr="00512BE3" w:rsidRDefault="006D4FAB" w:rsidP="00996BDC">
      <w:pPr>
        <w:pStyle w:val="Heading1"/>
        <w:spacing w:before="0" w:after="200"/>
        <w:ind w:left="431" w:hanging="431"/>
        <w:rPr>
          <w:lang w:val="sl-SI"/>
        </w:rPr>
      </w:pPr>
      <w:bookmarkStart w:id="3" w:name="_Toc95294146"/>
      <w:r w:rsidRPr="00512BE3">
        <w:rPr>
          <w:lang w:val="sl-SI"/>
        </w:rPr>
        <w:t>RASPODJELA PRIHODA</w:t>
      </w:r>
      <w:bookmarkEnd w:id="3"/>
    </w:p>
    <w:p w14:paraId="48F216D4" w14:textId="77777777" w:rsidR="00BB39F3" w:rsidRPr="00512BE3" w:rsidRDefault="00AB5D08" w:rsidP="00996BDC">
      <w:pPr>
        <w:spacing w:after="40"/>
        <w:ind w:firstLine="709"/>
        <w:jc w:val="both"/>
        <w:rPr>
          <w:noProof/>
          <w:sz w:val="22"/>
          <w:szCs w:val="22"/>
          <w:lang w:val="sr-Latn-CS"/>
        </w:rPr>
      </w:pPr>
      <w:r w:rsidRPr="00512BE3">
        <w:rPr>
          <w:noProof/>
          <w:sz w:val="22"/>
          <w:szCs w:val="22"/>
          <w:lang w:val="sr-Latn-CS"/>
        </w:rPr>
        <w:t>Prikupljeni neto prihodi za raspodjelu korisnicima prihoda u 2022. godine, iznosili su 7 milijardi i 827 miliona KM, i isti su u odnosu na 2021. godinu, kada su iznosili 6 milijardi i 920 miliona KM veći za 13,11% (cca 907 miliona KM).</w:t>
      </w:r>
    </w:p>
    <w:p w14:paraId="0A628F72" w14:textId="77777777" w:rsidR="00AB5D08" w:rsidRPr="00512BE3" w:rsidRDefault="00BB39F3" w:rsidP="00AB5D08">
      <w:pPr>
        <w:ind w:firstLine="708"/>
        <w:jc w:val="both"/>
        <w:rPr>
          <w:noProof/>
          <w:sz w:val="22"/>
          <w:szCs w:val="22"/>
          <w:lang w:val="sr-Latn-CS"/>
        </w:rPr>
      </w:pPr>
      <w:r w:rsidRPr="00512BE3">
        <w:rPr>
          <w:noProof/>
          <w:sz w:val="22"/>
          <w:szCs w:val="22"/>
          <w:lang w:val="sr-Latn-CS"/>
        </w:rPr>
        <w:t>UIO je raspodjelu i doznačavanje prikupljenih prihoda u 202</w:t>
      </w:r>
      <w:r w:rsidR="00AB5D08" w:rsidRPr="00512BE3">
        <w:rPr>
          <w:noProof/>
          <w:sz w:val="22"/>
          <w:szCs w:val="22"/>
          <w:lang w:val="sr-Latn-CS"/>
        </w:rPr>
        <w:t>2</w:t>
      </w:r>
      <w:r w:rsidRPr="00512BE3">
        <w:rPr>
          <w:noProof/>
          <w:sz w:val="22"/>
          <w:szCs w:val="22"/>
          <w:lang w:val="sr-Latn-CS"/>
        </w:rPr>
        <w:t>. godini, vršila shodno odlukama UO UIO i prema važećim koe</w:t>
      </w:r>
      <w:r w:rsidR="00C357B0" w:rsidRPr="00512BE3">
        <w:rPr>
          <w:noProof/>
          <w:sz w:val="22"/>
          <w:szCs w:val="22"/>
          <w:lang w:val="sr-Latn-CS"/>
        </w:rPr>
        <w:t>ficijentima raspodjele, te su</w:t>
      </w:r>
      <w:r w:rsidRPr="00512BE3">
        <w:rPr>
          <w:noProof/>
          <w:sz w:val="22"/>
          <w:szCs w:val="22"/>
          <w:lang w:val="sr-Latn-CS"/>
        </w:rPr>
        <w:t xml:space="preserve"> nakon izdvajanja sredstava za minimalne rezerve u svrhu obezbjeđenja povrata sredstava obveznicima (iznos od </w:t>
      </w:r>
      <w:r w:rsidR="00AB5D08" w:rsidRPr="00512BE3">
        <w:rPr>
          <w:noProof/>
          <w:sz w:val="22"/>
          <w:szCs w:val="22"/>
          <w:lang w:val="sr-Latn-CS"/>
        </w:rPr>
        <w:t>2</w:t>
      </w:r>
      <w:r w:rsidRPr="00512BE3">
        <w:rPr>
          <w:noProof/>
          <w:sz w:val="22"/>
          <w:szCs w:val="22"/>
          <w:lang w:val="sr-Latn-CS"/>
        </w:rPr>
        <w:t xml:space="preserve"> milijarde i </w:t>
      </w:r>
      <w:r w:rsidR="00AB5D08" w:rsidRPr="00512BE3">
        <w:rPr>
          <w:noProof/>
          <w:sz w:val="22"/>
          <w:szCs w:val="22"/>
          <w:lang w:val="sr-Latn-CS"/>
        </w:rPr>
        <w:t>99</w:t>
      </w:r>
      <w:r w:rsidRPr="00512BE3">
        <w:rPr>
          <w:noProof/>
          <w:sz w:val="22"/>
          <w:szCs w:val="22"/>
          <w:lang w:val="sr-Latn-CS"/>
        </w:rPr>
        <w:t xml:space="preserve"> miliona KM) i za putarine za izgradnju autoputeva 0,25 KM (iznos od </w:t>
      </w:r>
      <w:r w:rsidR="00AB5D08" w:rsidRPr="00512BE3">
        <w:rPr>
          <w:noProof/>
          <w:sz w:val="22"/>
          <w:szCs w:val="22"/>
          <w:lang w:val="sr-Latn-CS"/>
        </w:rPr>
        <w:t>393</w:t>
      </w:r>
      <w:r w:rsidRPr="00512BE3">
        <w:rPr>
          <w:noProof/>
          <w:sz w:val="22"/>
          <w:szCs w:val="22"/>
          <w:lang w:val="sr-Latn-CS"/>
        </w:rPr>
        <w:t xml:space="preserve"> miliona KM) korisnicima doznačena sredstava i to: </w:t>
      </w:r>
      <w:r w:rsidR="00AB5D08" w:rsidRPr="00512BE3">
        <w:rPr>
          <w:noProof/>
          <w:sz w:val="22"/>
          <w:szCs w:val="22"/>
          <w:lang w:val="sr-Latn-CS"/>
        </w:rPr>
        <w:t>865,5</w:t>
      </w:r>
      <w:r w:rsidRPr="00512BE3">
        <w:rPr>
          <w:noProof/>
          <w:sz w:val="22"/>
          <w:szCs w:val="22"/>
          <w:lang w:val="sr-Latn-CS"/>
        </w:rPr>
        <w:t xml:space="preserve"> miliona KM u korist BiH - finansiranje institucija, </w:t>
      </w:r>
      <w:r w:rsidR="00AB5D08" w:rsidRPr="00512BE3">
        <w:rPr>
          <w:noProof/>
          <w:sz w:val="22"/>
          <w:szCs w:val="22"/>
          <w:lang w:val="sr-Latn-CS"/>
        </w:rPr>
        <w:t>4</w:t>
      </w:r>
      <w:r w:rsidRPr="00512BE3">
        <w:rPr>
          <w:noProof/>
          <w:sz w:val="22"/>
          <w:szCs w:val="22"/>
          <w:lang w:val="sr-Latn-CS"/>
        </w:rPr>
        <w:t xml:space="preserve"> milijarde i </w:t>
      </w:r>
      <w:r w:rsidR="00AB5D08" w:rsidRPr="00512BE3">
        <w:rPr>
          <w:noProof/>
          <w:sz w:val="22"/>
          <w:szCs w:val="22"/>
          <w:lang w:val="sr-Latn-CS"/>
        </w:rPr>
        <w:t>92</w:t>
      </w:r>
      <w:r w:rsidRPr="00512BE3">
        <w:rPr>
          <w:noProof/>
          <w:sz w:val="22"/>
          <w:szCs w:val="22"/>
          <w:lang w:val="sr-Latn-CS"/>
        </w:rPr>
        <w:t xml:space="preserve"> miliona KM u korist Federacije BiH, </w:t>
      </w:r>
      <w:r w:rsidR="00AB5D08" w:rsidRPr="00512BE3">
        <w:rPr>
          <w:noProof/>
          <w:sz w:val="22"/>
          <w:szCs w:val="22"/>
          <w:lang w:val="sr-Latn-CS"/>
        </w:rPr>
        <w:t>2</w:t>
      </w:r>
      <w:r w:rsidRPr="00512BE3">
        <w:rPr>
          <w:noProof/>
          <w:sz w:val="22"/>
          <w:szCs w:val="22"/>
          <w:lang w:val="sr-Latn-CS"/>
        </w:rPr>
        <w:t xml:space="preserve"> milijarda i </w:t>
      </w:r>
      <w:r w:rsidR="00AB5D08" w:rsidRPr="00512BE3">
        <w:rPr>
          <w:noProof/>
          <w:sz w:val="22"/>
          <w:szCs w:val="22"/>
          <w:lang w:val="sr-Latn-CS"/>
        </w:rPr>
        <w:t>235</w:t>
      </w:r>
      <w:r w:rsidRPr="00512BE3">
        <w:rPr>
          <w:noProof/>
          <w:sz w:val="22"/>
          <w:szCs w:val="22"/>
          <w:lang w:val="sr-Latn-CS"/>
        </w:rPr>
        <w:t xml:space="preserve"> miliona KM u korist Republike Srpske i 2</w:t>
      </w:r>
      <w:r w:rsidR="00AB5D08" w:rsidRPr="00512BE3">
        <w:rPr>
          <w:noProof/>
          <w:sz w:val="22"/>
          <w:szCs w:val="22"/>
          <w:lang w:val="sr-Latn-CS"/>
        </w:rPr>
        <w:t>3</w:t>
      </w:r>
      <w:r w:rsidRPr="00512BE3">
        <w:rPr>
          <w:noProof/>
          <w:sz w:val="22"/>
          <w:szCs w:val="22"/>
          <w:lang w:val="sr-Latn-CS"/>
        </w:rPr>
        <w:t>3 miliona K</w:t>
      </w:r>
      <w:r w:rsidR="00C357B0" w:rsidRPr="00512BE3">
        <w:rPr>
          <w:noProof/>
          <w:sz w:val="22"/>
          <w:szCs w:val="22"/>
          <w:lang w:val="sr-Latn-CS"/>
        </w:rPr>
        <w:t xml:space="preserve">M u korist Distrikta Brčko BIH. </w:t>
      </w:r>
    </w:p>
    <w:p w14:paraId="7E385964" w14:textId="47DC544D" w:rsidR="00BB39F3" w:rsidRPr="00512BE3" w:rsidRDefault="00AB5D08" w:rsidP="0095417A">
      <w:pPr>
        <w:ind w:firstLine="708"/>
        <w:jc w:val="both"/>
        <w:rPr>
          <w:noProof/>
          <w:sz w:val="22"/>
          <w:szCs w:val="22"/>
          <w:lang w:val="sr-Latn-CS"/>
        </w:rPr>
      </w:pPr>
      <w:r w:rsidRPr="00512BE3">
        <w:rPr>
          <w:noProof/>
          <w:sz w:val="22"/>
          <w:szCs w:val="22"/>
          <w:lang w:val="sr-Latn-CS"/>
        </w:rPr>
        <w:t xml:space="preserve">U 2022. godini Upravni odbor UIO usvojio je Odluku broj: 02-02-06-1/22 od 22.03.2022. godine o drugom privremenom poravnanju između korisnika raspodjele indirektnih poreza sa Jedinstvenog računa Uprave za indirektno oporezivanje za 2021. godinu ("Službeni glasnik BiH", broj 17/22), prema kojoj je Republika Srpska dužna da isplati Federaciji BiH 9.281.415,35 KM. UIO je dana 08.04.2022. godine izvršila drugo privremeno poravnanje između korisnika raspodjele, prema kojem se poravnanje između korisnika raspodjele vrši na teret tekućih prihoda od indirektnog oporezivanja na Jedinstvenom računu UINO koji pripadaju Republici Srpskoj, prenosom na račun Federacije BiH, u iznosu od 9.281.415,35 KM. Upravni odbor UIO je u 2022. godini usvojio i Odluku broj: 02-02-55-1/22 od 22.09.2022. godine o prvom privremenom poravnjanju između korisnika raspodjele indirektnih poreza sa Jedinstvenog računa Uprave za indirektno oporezivanje za 2022. godinu ("Službeni glasnik BiH", broj 66/22), prema kojoj je Federacija Bosne i Hercegovine dužna da isplati Republici Srpskoj 14.725.997,21 KM. UIO je dana 10.10.2022. godine izvršila prvo privremeno poravnanje između korisnika raspodjele, prema kojem se poravnanje između korisnika raspodjele vrši na teret tekućih </w:t>
      </w:r>
      <w:r w:rsidRPr="00512BE3">
        <w:rPr>
          <w:noProof/>
          <w:sz w:val="22"/>
          <w:szCs w:val="22"/>
          <w:lang w:val="sr-Latn-CS"/>
        </w:rPr>
        <w:lastRenderedPageBreak/>
        <w:t>prihoda od indirektnog oporezivanja na Jedinstvenom računu UIO koji pripadaju Federaciji Bosne i Hercegovine, prenosom na račun Republike Srpske, u iznosu od 14.725.997,21 KM.</w:t>
      </w:r>
    </w:p>
    <w:p w14:paraId="52CA4F95" w14:textId="5A9B3CDF" w:rsidR="00D9455A" w:rsidRPr="00512BE3" w:rsidRDefault="00B57403" w:rsidP="00BB39F3">
      <w:pPr>
        <w:jc w:val="both"/>
        <w:rPr>
          <w:b/>
          <w:bCs/>
          <w:i/>
          <w:iCs/>
          <w:sz w:val="22"/>
          <w:szCs w:val="22"/>
          <w:lang w:val="sr-Latn-CS"/>
        </w:rPr>
      </w:pPr>
      <w:r w:rsidRPr="00512BE3">
        <w:rPr>
          <w:b/>
          <w:bCs/>
          <w:i/>
          <w:iCs/>
          <w:sz w:val="22"/>
          <w:szCs w:val="22"/>
          <w:lang w:val="sr-Latn-CS"/>
        </w:rPr>
        <w:t>Tabela 2: Tabelarni pregled raspodjele</w:t>
      </w:r>
      <w:r w:rsidR="00E06416" w:rsidRPr="00512BE3">
        <w:rPr>
          <w:b/>
          <w:bCs/>
          <w:i/>
          <w:iCs/>
          <w:sz w:val="22"/>
          <w:szCs w:val="22"/>
          <w:lang w:val="sr-Latn-CS"/>
        </w:rPr>
        <w:t xml:space="preserve"> doznačenih sr</w:t>
      </w:r>
      <w:r w:rsidR="002677A6" w:rsidRPr="00512BE3">
        <w:rPr>
          <w:b/>
          <w:bCs/>
          <w:i/>
          <w:iCs/>
          <w:sz w:val="22"/>
          <w:szCs w:val="22"/>
          <w:lang w:val="sr-Latn-CS"/>
        </w:rPr>
        <w:t>edstava period 01.01.-31.12.2021/2022</w:t>
      </w:r>
      <w:r w:rsidR="00E06416" w:rsidRPr="00512BE3">
        <w:rPr>
          <w:b/>
          <w:bCs/>
          <w:i/>
          <w:iCs/>
          <w:sz w:val="22"/>
          <w:szCs w:val="22"/>
          <w:lang w:val="sr-Latn-CS"/>
        </w:rPr>
        <w:t xml:space="preserve">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000"/>
        <w:gridCol w:w="748"/>
        <w:gridCol w:w="816"/>
        <w:gridCol w:w="1028"/>
        <w:gridCol w:w="748"/>
        <w:gridCol w:w="816"/>
        <w:gridCol w:w="1055"/>
        <w:gridCol w:w="878"/>
        <w:gridCol w:w="816"/>
      </w:tblGrid>
      <w:tr w:rsidR="00AB5D08" w:rsidRPr="00512BE3" w14:paraId="39FF42A1" w14:textId="77777777" w:rsidTr="00AB5D08">
        <w:trPr>
          <w:trHeight w:val="417"/>
        </w:trPr>
        <w:tc>
          <w:tcPr>
            <w:tcW w:w="1155" w:type="dxa"/>
            <w:vMerge w:val="restart"/>
            <w:shd w:val="clear" w:color="auto" w:fill="DDD9C3"/>
            <w:vAlign w:val="center"/>
            <w:hideMark/>
          </w:tcPr>
          <w:p w14:paraId="365BFA72" w14:textId="77777777" w:rsidR="00AB5D08" w:rsidRPr="00512BE3" w:rsidRDefault="00AB5D08" w:rsidP="00AB5D08">
            <w:pPr>
              <w:widowControl w:val="0"/>
              <w:autoSpaceDE w:val="0"/>
              <w:autoSpaceDN w:val="0"/>
              <w:adjustRightInd w:val="0"/>
              <w:jc w:val="center"/>
              <w:rPr>
                <w:b/>
                <w:noProof/>
                <w:sz w:val="16"/>
                <w:szCs w:val="16"/>
                <w:lang w:val="sr-Latn-RS"/>
              </w:rPr>
            </w:pPr>
          </w:p>
          <w:p w14:paraId="01A3AFCD" w14:textId="77777777" w:rsidR="00AB5D08" w:rsidRPr="00512BE3" w:rsidRDefault="00AB5D08" w:rsidP="00AB5D08">
            <w:pPr>
              <w:widowControl w:val="0"/>
              <w:autoSpaceDE w:val="0"/>
              <w:autoSpaceDN w:val="0"/>
              <w:adjustRightInd w:val="0"/>
              <w:jc w:val="center"/>
              <w:rPr>
                <w:b/>
                <w:noProof/>
                <w:sz w:val="16"/>
                <w:szCs w:val="16"/>
                <w:lang w:val="sr-Latn-RS"/>
              </w:rPr>
            </w:pPr>
          </w:p>
          <w:p w14:paraId="7F9BEA6A"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01.01.-31.12.</w:t>
            </w:r>
          </w:p>
          <w:p w14:paraId="1B7CE563" w14:textId="77777777" w:rsidR="00AB5D08" w:rsidRPr="00512BE3" w:rsidRDefault="00AB5D08" w:rsidP="00AB5D08">
            <w:pPr>
              <w:widowControl w:val="0"/>
              <w:autoSpaceDE w:val="0"/>
              <w:autoSpaceDN w:val="0"/>
              <w:adjustRightInd w:val="0"/>
              <w:jc w:val="center"/>
              <w:rPr>
                <w:b/>
                <w:noProof/>
                <w:sz w:val="16"/>
                <w:szCs w:val="16"/>
                <w:lang w:val="sr-Latn-RS"/>
              </w:rPr>
            </w:pPr>
          </w:p>
          <w:p w14:paraId="2178D62B" w14:textId="77777777" w:rsidR="00AB5D08" w:rsidRPr="00512BE3" w:rsidRDefault="00AB5D08" w:rsidP="00AB5D08">
            <w:pPr>
              <w:widowControl w:val="0"/>
              <w:autoSpaceDE w:val="0"/>
              <w:autoSpaceDN w:val="0"/>
              <w:adjustRightInd w:val="0"/>
              <w:jc w:val="center"/>
              <w:rPr>
                <w:b/>
                <w:noProof/>
                <w:sz w:val="16"/>
                <w:szCs w:val="16"/>
                <w:lang w:val="sr-Latn-RS"/>
              </w:rPr>
            </w:pPr>
          </w:p>
        </w:tc>
        <w:tc>
          <w:tcPr>
            <w:tcW w:w="2564" w:type="dxa"/>
            <w:gridSpan w:val="3"/>
            <w:shd w:val="clear" w:color="auto" w:fill="DDD9C3"/>
            <w:vAlign w:val="center"/>
            <w:hideMark/>
          </w:tcPr>
          <w:p w14:paraId="33BCE2E0"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FBiH</w:t>
            </w:r>
          </w:p>
        </w:tc>
        <w:tc>
          <w:tcPr>
            <w:tcW w:w="2592" w:type="dxa"/>
            <w:gridSpan w:val="3"/>
            <w:shd w:val="clear" w:color="auto" w:fill="DDD9C3"/>
            <w:vAlign w:val="center"/>
            <w:hideMark/>
          </w:tcPr>
          <w:p w14:paraId="70586824"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RS</w:t>
            </w:r>
          </w:p>
        </w:tc>
        <w:tc>
          <w:tcPr>
            <w:tcW w:w="2749" w:type="dxa"/>
            <w:gridSpan w:val="3"/>
            <w:shd w:val="clear" w:color="auto" w:fill="DDD9C3"/>
            <w:vAlign w:val="center"/>
            <w:hideMark/>
          </w:tcPr>
          <w:p w14:paraId="0AA012D6"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DB BiH</w:t>
            </w:r>
          </w:p>
        </w:tc>
      </w:tr>
      <w:tr w:rsidR="00AB5D08" w:rsidRPr="00512BE3" w14:paraId="52D79124" w14:textId="77777777" w:rsidTr="00AB5D08">
        <w:trPr>
          <w:trHeight w:val="417"/>
        </w:trPr>
        <w:tc>
          <w:tcPr>
            <w:tcW w:w="1155" w:type="dxa"/>
            <w:vMerge/>
            <w:shd w:val="clear" w:color="auto" w:fill="DDD9C3"/>
            <w:vAlign w:val="center"/>
            <w:hideMark/>
          </w:tcPr>
          <w:p w14:paraId="10ABFEBF" w14:textId="77777777" w:rsidR="00AB5D08" w:rsidRPr="00512BE3" w:rsidRDefault="00AB5D08" w:rsidP="00AB5D08">
            <w:pPr>
              <w:widowControl w:val="0"/>
              <w:autoSpaceDE w:val="0"/>
              <w:autoSpaceDN w:val="0"/>
              <w:adjustRightInd w:val="0"/>
              <w:jc w:val="center"/>
              <w:rPr>
                <w:b/>
                <w:noProof/>
                <w:sz w:val="16"/>
                <w:szCs w:val="16"/>
                <w:lang w:val="sr-Latn-RS"/>
              </w:rPr>
            </w:pPr>
          </w:p>
        </w:tc>
        <w:tc>
          <w:tcPr>
            <w:tcW w:w="1000" w:type="dxa"/>
            <w:shd w:val="clear" w:color="auto" w:fill="DDD9C3"/>
            <w:vAlign w:val="center"/>
            <w:hideMark/>
          </w:tcPr>
          <w:p w14:paraId="31589A36"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Doznačeno</w:t>
            </w:r>
          </w:p>
        </w:tc>
        <w:tc>
          <w:tcPr>
            <w:tcW w:w="748" w:type="dxa"/>
            <w:shd w:val="clear" w:color="auto" w:fill="DDD9C3"/>
            <w:vAlign w:val="center"/>
            <w:hideMark/>
          </w:tcPr>
          <w:p w14:paraId="2F20E5A1"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Spoljni dug</w:t>
            </w:r>
          </w:p>
        </w:tc>
        <w:tc>
          <w:tcPr>
            <w:tcW w:w="816" w:type="dxa"/>
            <w:shd w:val="clear" w:color="auto" w:fill="DDD9C3"/>
            <w:vAlign w:val="center"/>
            <w:hideMark/>
          </w:tcPr>
          <w:p w14:paraId="1C162D6E"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Ukupno</w:t>
            </w:r>
          </w:p>
        </w:tc>
        <w:tc>
          <w:tcPr>
            <w:tcW w:w="1028" w:type="dxa"/>
            <w:shd w:val="clear" w:color="auto" w:fill="DDD9C3"/>
            <w:vAlign w:val="center"/>
            <w:hideMark/>
          </w:tcPr>
          <w:p w14:paraId="19D98392"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Doznačeno</w:t>
            </w:r>
          </w:p>
        </w:tc>
        <w:tc>
          <w:tcPr>
            <w:tcW w:w="748" w:type="dxa"/>
            <w:shd w:val="clear" w:color="auto" w:fill="DDD9C3"/>
            <w:vAlign w:val="center"/>
            <w:hideMark/>
          </w:tcPr>
          <w:p w14:paraId="48992AC4"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Spoljni dug</w:t>
            </w:r>
          </w:p>
        </w:tc>
        <w:tc>
          <w:tcPr>
            <w:tcW w:w="816" w:type="dxa"/>
            <w:shd w:val="clear" w:color="auto" w:fill="DDD9C3"/>
            <w:vAlign w:val="center"/>
            <w:hideMark/>
          </w:tcPr>
          <w:p w14:paraId="370A79EB"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Ukupno</w:t>
            </w:r>
          </w:p>
        </w:tc>
        <w:tc>
          <w:tcPr>
            <w:tcW w:w="1055" w:type="dxa"/>
            <w:shd w:val="clear" w:color="auto" w:fill="DDD9C3"/>
            <w:vAlign w:val="center"/>
            <w:hideMark/>
          </w:tcPr>
          <w:p w14:paraId="27F4089C"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Doznačeno</w:t>
            </w:r>
          </w:p>
        </w:tc>
        <w:tc>
          <w:tcPr>
            <w:tcW w:w="878" w:type="dxa"/>
            <w:shd w:val="clear" w:color="auto" w:fill="DDD9C3"/>
            <w:vAlign w:val="center"/>
            <w:hideMark/>
          </w:tcPr>
          <w:p w14:paraId="57FB1326"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Spoljni dug</w:t>
            </w:r>
          </w:p>
        </w:tc>
        <w:tc>
          <w:tcPr>
            <w:tcW w:w="816" w:type="dxa"/>
            <w:shd w:val="clear" w:color="auto" w:fill="DDD9C3"/>
            <w:vAlign w:val="center"/>
            <w:hideMark/>
          </w:tcPr>
          <w:p w14:paraId="561A87C6"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Ukupno</w:t>
            </w:r>
          </w:p>
        </w:tc>
      </w:tr>
      <w:tr w:rsidR="00AB5D08" w:rsidRPr="00512BE3" w14:paraId="3222F5EB" w14:textId="77777777" w:rsidTr="00AB5D08">
        <w:trPr>
          <w:trHeight w:val="417"/>
        </w:trPr>
        <w:tc>
          <w:tcPr>
            <w:tcW w:w="1155" w:type="dxa"/>
            <w:vMerge/>
            <w:shd w:val="clear" w:color="auto" w:fill="DDD9C3"/>
            <w:vAlign w:val="center"/>
            <w:hideMark/>
          </w:tcPr>
          <w:p w14:paraId="32E80698" w14:textId="77777777" w:rsidR="00AB5D08" w:rsidRPr="00512BE3" w:rsidRDefault="00AB5D08" w:rsidP="00AB5D08">
            <w:pPr>
              <w:widowControl w:val="0"/>
              <w:autoSpaceDE w:val="0"/>
              <w:autoSpaceDN w:val="0"/>
              <w:adjustRightInd w:val="0"/>
              <w:jc w:val="center"/>
              <w:rPr>
                <w:b/>
                <w:noProof/>
                <w:sz w:val="16"/>
                <w:szCs w:val="16"/>
                <w:lang w:val="sr-Latn-RS"/>
              </w:rPr>
            </w:pPr>
          </w:p>
        </w:tc>
        <w:tc>
          <w:tcPr>
            <w:tcW w:w="2564" w:type="dxa"/>
            <w:gridSpan w:val="3"/>
            <w:shd w:val="clear" w:color="auto" w:fill="DDD9C3"/>
            <w:vAlign w:val="center"/>
            <w:hideMark/>
          </w:tcPr>
          <w:p w14:paraId="0A51BA02"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(u mil. KM)</w:t>
            </w:r>
          </w:p>
        </w:tc>
        <w:tc>
          <w:tcPr>
            <w:tcW w:w="2592" w:type="dxa"/>
            <w:gridSpan w:val="3"/>
            <w:shd w:val="clear" w:color="auto" w:fill="DDD9C3"/>
            <w:vAlign w:val="center"/>
            <w:hideMark/>
          </w:tcPr>
          <w:p w14:paraId="7C598875"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(u mil. KM)</w:t>
            </w:r>
          </w:p>
        </w:tc>
        <w:tc>
          <w:tcPr>
            <w:tcW w:w="2749" w:type="dxa"/>
            <w:gridSpan w:val="3"/>
            <w:shd w:val="clear" w:color="auto" w:fill="DDD9C3"/>
            <w:vAlign w:val="center"/>
            <w:hideMark/>
          </w:tcPr>
          <w:p w14:paraId="11D4F761"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(u mil. KM)</w:t>
            </w:r>
          </w:p>
        </w:tc>
      </w:tr>
      <w:tr w:rsidR="00AB5D08" w:rsidRPr="00512BE3" w14:paraId="661AC87C" w14:textId="77777777" w:rsidTr="00AB5D08">
        <w:trPr>
          <w:trHeight w:val="417"/>
        </w:trPr>
        <w:tc>
          <w:tcPr>
            <w:tcW w:w="1155" w:type="dxa"/>
            <w:noWrap/>
            <w:vAlign w:val="center"/>
          </w:tcPr>
          <w:p w14:paraId="0240FC43"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2021</w:t>
            </w:r>
          </w:p>
        </w:tc>
        <w:tc>
          <w:tcPr>
            <w:tcW w:w="1000" w:type="dxa"/>
            <w:noWrap/>
            <w:vAlign w:val="center"/>
          </w:tcPr>
          <w:p w14:paraId="121A392F"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3.069</w:t>
            </w:r>
          </w:p>
        </w:tc>
        <w:tc>
          <w:tcPr>
            <w:tcW w:w="748" w:type="dxa"/>
            <w:noWrap/>
            <w:vAlign w:val="center"/>
          </w:tcPr>
          <w:p w14:paraId="13108550"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509</w:t>
            </w:r>
          </w:p>
        </w:tc>
        <w:tc>
          <w:tcPr>
            <w:tcW w:w="816" w:type="dxa"/>
            <w:noWrap/>
            <w:vAlign w:val="center"/>
          </w:tcPr>
          <w:p w14:paraId="7BD7123E"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3.578</w:t>
            </w:r>
          </w:p>
        </w:tc>
        <w:tc>
          <w:tcPr>
            <w:tcW w:w="1028" w:type="dxa"/>
            <w:noWrap/>
            <w:vAlign w:val="center"/>
          </w:tcPr>
          <w:p w14:paraId="04E3DFF8"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1.708</w:t>
            </w:r>
          </w:p>
        </w:tc>
        <w:tc>
          <w:tcPr>
            <w:tcW w:w="748" w:type="dxa"/>
            <w:noWrap/>
            <w:vAlign w:val="center"/>
          </w:tcPr>
          <w:p w14:paraId="3513E1EB"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242</w:t>
            </w:r>
          </w:p>
        </w:tc>
        <w:tc>
          <w:tcPr>
            <w:tcW w:w="816" w:type="dxa"/>
            <w:noWrap/>
            <w:vAlign w:val="center"/>
          </w:tcPr>
          <w:p w14:paraId="56CED062"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1.950</w:t>
            </w:r>
          </w:p>
        </w:tc>
        <w:tc>
          <w:tcPr>
            <w:tcW w:w="1055" w:type="dxa"/>
            <w:noWrap/>
            <w:vAlign w:val="center"/>
          </w:tcPr>
          <w:p w14:paraId="571D1B8A"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196</w:t>
            </w:r>
          </w:p>
        </w:tc>
        <w:tc>
          <w:tcPr>
            <w:tcW w:w="878" w:type="dxa"/>
            <w:noWrap/>
            <w:vAlign w:val="center"/>
          </w:tcPr>
          <w:p w14:paraId="12B6521B"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7</w:t>
            </w:r>
          </w:p>
        </w:tc>
        <w:tc>
          <w:tcPr>
            <w:tcW w:w="816" w:type="dxa"/>
            <w:noWrap/>
            <w:vAlign w:val="center"/>
          </w:tcPr>
          <w:p w14:paraId="77788888"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203</w:t>
            </w:r>
          </w:p>
        </w:tc>
      </w:tr>
      <w:tr w:rsidR="00AB5D08" w:rsidRPr="00512BE3" w14:paraId="73F4D5F6" w14:textId="77777777" w:rsidTr="00AB5D08">
        <w:trPr>
          <w:trHeight w:val="417"/>
        </w:trPr>
        <w:tc>
          <w:tcPr>
            <w:tcW w:w="1155" w:type="dxa"/>
            <w:noWrap/>
            <w:vAlign w:val="center"/>
            <w:hideMark/>
          </w:tcPr>
          <w:p w14:paraId="2C8A1949"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2022</w:t>
            </w:r>
          </w:p>
        </w:tc>
        <w:tc>
          <w:tcPr>
            <w:tcW w:w="1000" w:type="dxa"/>
            <w:noWrap/>
            <w:vAlign w:val="center"/>
            <w:hideMark/>
          </w:tcPr>
          <w:p w14:paraId="48F8CFFF"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3.557</w:t>
            </w:r>
          </w:p>
        </w:tc>
        <w:tc>
          <w:tcPr>
            <w:tcW w:w="748" w:type="dxa"/>
            <w:noWrap/>
            <w:vAlign w:val="center"/>
            <w:hideMark/>
          </w:tcPr>
          <w:p w14:paraId="0C50589C"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535</w:t>
            </w:r>
          </w:p>
        </w:tc>
        <w:tc>
          <w:tcPr>
            <w:tcW w:w="816" w:type="dxa"/>
            <w:noWrap/>
            <w:vAlign w:val="center"/>
            <w:hideMark/>
          </w:tcPr>
          <w:p w14:paraId="01640C87"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4.092</w:t>
            </w:r>
          </w:p>
        </w:tc>
        <w:tc>
          <w:tcPr>
            <w:tcW w:w="1028" w:type="dxa"/>
            <w:noWrap/>
            <w:vAlign w:val="center"/>
            <w:hideMark/>
          </w:tcPr>
          <w:p w14:paraId="76413ED4"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1.981</w:t>
            </w:r>
          </w:p>
        </w:tc>
        <w:tc>
          <w:tcPr>
            <w:tcW w:w="748" w:type="dxa"/>
            <w:noWrap/>
            <w:vAlign w:val="center"/>
            <w:hideMark/>
          </w:tcPr>
          <w:p w14:paraId="4014362A"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254</w:t>
            </w:r>
          </w:p>
        </w:tc>
        <w:tc>
          <w:tcPr>
            <w:tcW w:w="816" w:type="dxa"/>
            <w:noWrap/>
            <w:vAlign w:val="center"/>
            <w:hideMark/>
          </w:tcPr>
          <w:p w14:paraId="626EC4E5"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2.235</w:t>
            </w:r>
          </w:p>
        </w:tc>
        <w:tc>
          <w:tcPr>
            <w:tcW w:w="1055" w:type="dxa"/>
            <w:noWrap/>
            <w:vAlign w:val="center"/>
            <w:hideMark/>
          </w:tcPr>
          <w:p w14:paraId="4E8464A6"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225</w:t>
            </w:r>
          </w:p>
        </w:tc>
        <w:tc>
          <w:tcPr>
            <w:tcW w:w="878" w:type="dxa"/>
            <w:noWrap/>
            <w:vAlign w:val="center"/>
            <w:hideMark/>
          </w:tcPr>
          <w:p w14:paraId="48161DE1"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8</w:t>
            </w:r>
          </w:p>
        </w:tc>
        <w:tc>
          <w:tcPr>
            <w:tcW w:w="816" w:type="dxa"/>
            <w:noWrap/>
            <w:vAlign w:val="center"/>
            <w:hideMark/>
          </w:tcPr>
          <w:p w14:paraId="138517F5"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233</w:t>
            </w:r>
          </w:p>
        </w:tc>
      </w:tr>
      <w:tr w:rsidR="00AB5D08" w:rsidRPr="00512BE3" w14:paraId="07D249E2" w14:textId="77777777" w:rsidTr="00AB5D08">
        <w:trPr>
          <w:trHeight w:val="417"/>
        </w:trPr>
        <w:tc>
          <w:tcPr>
            <w:tcW w:w="1155" w:type="dxa"/>
            <w:noWrap/>
            <w:vAlign w:val="center"/>
            <w:hideMark/>
          </w:tcPr>
          <w:p w14:paraId="12C134E8"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 promjene</w:t>
            </w:r>
          </w:p>
        </w:tc>
        <w:tc>
          <w:tcPr>
            <w:tcW w:w="1000" w:type="dxa"/>
            <w:noWrap/>
            <w:vAlign w:val="center"/>
            <w:hideMark/>
          </w:tcPr>
          <w:p w14:paraId="1917698C"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15,89</w:t>
            </w:r>
          </w:p>
        </w:tc>
        <w:tc>
          <w:tcPr>
            <w:tcW w:w="748" w:type="dxa"/>
            <w:noWrap/>
            <w:vAlign w:val="center"/>
            <w:hideMark/>
          </w:tcPr>
          <w:p w14:paraId="3238DB5B"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5,00</w:t>
            </w:r>
          </w:p>
        </w:tc>
        <w:tc>
          <w:tcPr>
            <w:tcW w:w="816" w:type="dxa"/>
            <w:noWrap/>
            <w:vAlign w:val="center"/>
            <w:hideMark/>
          </w:tcPr>
          <w:p w14:paraId="4A43EE13"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14,34</w:t>
            </w:r>
          </w:p>
        </w:tc>
        <w:tc>
          <w:tcPr>
            <w:tcW w:w="1028" w:type="dxa"/>
            <w:noWrap/>
            <w:vAlign w:val="center"/>
            <w:hideMark/>
          </w:tcPr>
          <w:p w14:paraId="2B113BB3"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15,98</w:t>
            </w:r>
          </w:p>
        </w:tc>
        <w:tc>
          <w:tcPr>
            <w:tcW w:w="748" w:type="dxa"/>
            <w:noWrap/>
            <w:vAlign w:val="center"/>
            <w:hideMark/>
          </w:tcPr>
          <w:p w14:paraId="4F2C11FA"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5,22</w:t>
            </w:r>
          </w:p>
        </w:tc>
        <w:tc>
          <w:tcPr>
            <w:tcW w:w="816" w:type="dxa"/>
            <w:noWrap/>
            <w:vAlign w:val="center"/>
            <w:hideMark/>
          </w:tcPr>
          <w:p w14:paraId="68BA7664"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14,64</w:t>
            </w:r>
          </w:p>
        </w:tc>
        <w:tc>
          <w:tcPr>
            <w:tcW w:w="1055" w:type="dxa"/>
            <w:noWrap/>
            <w:vAlign w:val="center"/>
            <w:hideMark/>
          </w:tcPr>
          <w:p w14:paraId="545CBA9C"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14,75</w:t>
            </w:r>
          </w:p>
        </w:tc>
        <w:tc>
          <w:tcPr>
            <w:tcW w:w="878" w:type="dxa"/>
            <w:noWrap/>
            <w:vAlign w:val="center"/>
            <w:hideMark/>
          </w:tcPr>
          <w:p w14:paraId="046FDC2D"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6,24</w:t>
            </w:r>
          </w:p>
        </w:tc>
        <w:tc>
          <w:tcPr>
            <w:tcW w:w="816" w:type="dxa"/>
            <w:noWrap/>
            <w:vAlign w:val="center"/>
            <w:hideMark/>
          </w:tcPr>
          <w:p w14:paraId="525E543B" w14:textId="77777777" w:rsidR="00AB5D08" w:rsidRPr="00512BE3" w:rsidRDefault="00AB5D08" w:rsidP="00AB5D08">
            <w:pPr>
              <w:widowControl w:val="0"/>
              <w:autoSpaceDE w:val="0"/>
              <w:autoSpaceDN w:val="0"/>
              <w:adjustRightInd w:val="0"/>
              <w:jc w:val="center"/>
              <w:rPr>
                <w:b/>
                <w:noProof/>
                <w:sz w:val="16"/>
                <w:szCs w:val="16"/>
                <w:lang w:val="sr-Latn-RS"/>
              </w:rPr>
            </w:pPr>
            <w:r w:rsidRPr="00512BE3">
              <w:rPr>
                <w:b/>
                <w:noProof/>
                <w:sz w:val="16"/>
                <w:szCs w:val="16"/>
                <w:lang w:val="sr-Latn-RS"/>
              </w:rPr>
              <w:t>14,45</w:t>
            </w:r>
          </w:p>
        </w:tc>
      </w:tr>
    </w:tbl>
    <w:p w14:paraId="3E12CEC4" w14:textId="3F21D965" w:rsidR="00930564" w:rsidRPr="00512BE3" w:rsidRDefault="00D9455A" w:rsidP="007B6CB6">
      <w:pPr>
        <w:pStyle w:val="FootnoteText"/>
        <w:rPr>
          <w:i/>
          <w:noProof/>
          <w:sz w:val="18"/>
          <w:szCs w:val="18"/>
          <w:lang w:val="sr-Latn-RS"/>
        </w:rPr>
      </w:pPr>
      <w:r w:rsidRPr="00512BE3">
        <w:rPr>
          <w:noProof/>
          <w:sz w:val="18"/>
          <w:szCs w:val="18"/>
          <w:lang w:val="sr-Latn-BA"/>
        </w:rPr>
        <w:t>*</w:t>
      </w:r>
      <w:r w:rsidRPr="00512BE3">
        <w:rPr>
          <w:i/>
          <w:sz w:val="18"/>
          <w:szCs w:val="18"/>
          <w:lang w:val="sr-Latn-CS"/>
        </w:rPr>
        <w:t xml:space="preserve"> </w:t>
      </w:r>
      <w:r w:rsidRPr="00512BE3">
        <w:rPr>
          <w:i/>
          <w:noProof/>
          <w:sz w:val="18"/>
          <w:szCs w:val="18"/>
          <w:lang w:val="sr-Latn-CS"/>
        </w:rPr>
        <w:t xml:space="preserve">Napomena: </w:t>
      </w:r>
      <w:r w:rsidR="00E06416" w:rsidRPr="00512BE3">
        <w:rPr>
          <w:i/>
          <w:noProof/>
          <w:sz w:val="18"/>
          <w:szCs w:val="18"/>
          <w:lang w:val="sr-Latn-RS"/>
        </w:rPr>
        <w:t xml:space="preserve"> % promjene odražava stvarne odnose iznosa raspodjele koji nisu zaokruženi kao št</w:t>
      </w:r>
      <w:r w:rsidR="004D5929" w:rsidRPr="00512BE3">
        <w:rPr>
          <w:i/>
          <w:noProof/>
          <w:sz w:val="18"/>
          <w:szCs w:val="18"/>
          <w:lang w:val="sr-Latn-RS"/>
        </w:rPr>
        <w:t>o su podaci u navedenoj tabeli.</w:t>
      </w:r>
    </w:p>
    <w:p w14:paraId="3B848E3B" w14:textId="657D2EC3" w:rsidR="00AB5D08" w:rsidRPr="00512BE3" w:rsidRDefault="00AB5D08" w:rsidP="0095417A">
      <w:pPr>
        <w:pStyle w:val="NoSpacing"/>
        <w:ind w:firstLine="709"/>
        <w:jc w:val="both"/>
        <w:rPr>
          <w:rFonts w:ascii="Times New Roman" w:hAnsi="Times New Roman"/>
          <w:sz w:val="22"/>
          <w:szCs w:val="22"/>
          <w:lang w:val="sr-Latn-RS" w:eastAsia="en-US"/>
        </w:rPr>
      </w:pPr>
      <w:bookmarkStart w:id="4" w:name="_Toc125468294"/>
      <w:bookmarkStart w:id="5" w:name="_Toc125539623"/>
      <w:bookmarkStart w:id="6" w:name="_Toc499901410"/>
      <w:r w:rsidRPr="00512BE3">
        <w:rPr>
          <w:rFonts w:ascii="Times New Roman" w:hAnsi="Times New Roman"/>
          <w:sz w:val="22"/>
          <w:szCs w:val="22"/>
          <w:lang w:val="sr-Latn-RS" w:eastAsia="en-US"/>
        </w:rPr>
        <w:t>U toku 2022. godine vršila se raspodjela prihoda od putarina za izgradnju autoputeva i izgradnju i rekonstrukciju drugih puteva u Bosni i Hercegovini (16 Naloga za prenos putarine 0,25 KM).</w:t>
      </w:r>
      <w:bookmarkEnd w:id="4"/>
      <w:bookmarkEnd w:id="5"/>
      <w:r w:rsidR="0095417A" w:rsidRPr="00512BE3">
        <w:rPr>
          <w:rFonts w:ascii="Times New Roman" w:hAnsi="Times New Roman"/>
          <w:b/>
          <w:bCs/>
          <w:sz w:val="22"/>
          <w:szCs w:val="22"/>
          <w:lang w:val="sr-Latn-RS" w:eastAsia="en-US"/>
        </w:rPr>
        <w:t xml:space="preserve"> </w:t>
      </w:r>
      <w:r w:rsidRPr="00512BE3">
        <w:rPr>
          <w:rFonts w:ascii="Times New Roman" w:hAnsi="Times New Roman"/>
          <w:sz w:val="22"/>
          <w:szCs w:val="22"/>
          <w:lang w:val="sr-Latn-RS" w:eastAsia="en-US"/>
        </w:rPr>
        <w:t>Upravni odbor UIO je, dana 10.07.2018. godine, donio odluku o privremenoj raspodjeli prihoda od putarine za izgradnju autoputeva i izgradnju i rekonstrukciju drugih puteva (0,25 KM).</w:t>
      </w:r>
      <w:r w:rsidR="0095417A" w:rsidRPr="00512BE3">
        <w:rPr>
          <w:rFonts w:ascii="Times New Roman" w:hAnsi="Times New Roman"/>
          <w:sz w:val="22"/>
          <w:szCs w:val="22"/>
          <w:lang w:val="sr-Latn-RS" w:eastAsia="en-US"/>
        </w:rPr>
        <w:t xml:space="preserve"> </w:t>
      </w:r>
      <w:r w:rsidRPr="00512BE3">
        <w:rPr>
          <w:rFonts w:ascii="Times New Roman" w:hAnsi="Times New Roman"/>
          <w:sz w:val="22"/>
          <w:szCs w:val="22"/>
          <w:lang w:val="sr-Latn-RS" w:eastAsia="en-US"/>
        </w:rPr>
        <w:t>Prema navedenoj Odluci u 2022. godini po osnovu putarina za izgradnju autoputeva i izgradnju i rekonstrukciju drugih puteva u Bosni i Hercegovini (0,25 KM) korisnicima su doznačena sredstva u iznosu od 353.598.915,52 KM (90% prihoda od putarine), kako slijedi:</w:t>
      </w:r>
    </w:p>
    <w:p w14:paraId="6751464C" w14:textId="77777777" w:rsidR="00AB5D08" w:rsidRPr="00512BE3" w:rsidRDefault="00AB5D08" w:rsidP="00AB5D08">
      <w:pPr>
        <w:pStyle w:val="NoSpacing"/>
        <w:numPr>
          <w:ilvl w:val="0"/>
          <w:numId w:val="25"/>
        </w:numPr>
        <w:rPr>
          <w:rFonts w:ascii="Times New Roman" w:hAnsi="Times New Roman"/>
          <w:sz w:val="22"/>
          <w:szCs w:val="22"/>
          <w:lang w:val="sr-Latn-RS" w:eastAsia="en-US"/>
        </w:rPr>
      </w:pPr>
      <w:r w:rsidRPr="00512BE3">
        <w:rPr>
          <w:rFonts w:ascii="Times New Roman" w:hAnsi="Times New Roman"/>
          <w:bCs/>
          <w:sz w:val="22"/>
          <w:szCs w:val="22"/>
          <w:lang w:val="sr-Latn-RS" w:eastAsia="en-US"/>
        </w:rPr>
        <w:t>Federaciji BiH</w:t>
      </w:r>
      <w:r w:rsidRPr="00512BE3">
        <w:rPr>
          <w:rFonts w:ascii="Times New Roman" w:hAnsi="Times New Roman"/>
          <w:sz w:val="22"/>
          <w:szCs w:val="22"/>
          <w:lang w:val="sr-Latn-RS" w:eastAsia="en-US"/>
        </w:rPr>
        <w:t xml:space="preserve"> raspoređen je ukupan iznos od </w:t>
      </w:r>
      <w:r w:rsidRPr="00512BE3">
        <w:rPr>
          <w:rFonts w:ascii="Times New Roman" w:hAnsi="Times New Roman"/>
          <w:bCs/>
          <w:sz w:val="22"/>
          <w:szCs w:val="22"/>
          <w:lang w:val="sr-Latn-RS" w:eastAsia="en-US"/>
        </w:rPr>
        <w:t>208.623.360,16 KM (59,00%),</w:t>
      </w:r>
    </w:p>
    <w:p w14:paraId="3402BBC9" w14:textId="77777777" w:rsidR="00AB5D08" w:rsidRPr="00512BE3" w:rsidRDefault="00AB5D08" w:rsidP="00AB5D08">
      <w:pPr>
        <w:pStyle w:val="NoSpacing"/>
        <w:numPr>
          <w:ilvl w:val="0"/>
          <w:numId w:val="25"/>
        </w:numPr>
        <w:rPr>
          <w:rFonts w:ascii="Times New Roman" w:hAnsi="Times New Roman"/>
          <w:bCs/>
          <w:sz w:val="22"/>
          <w:szCs w:val="22"/>
          <w:lang w:val="sr-Latn-RS" w:eastAsia="en-US"/>
        </w:rPr>
      </w:pPr>
      <w:r w:rsidRPr="00512BE3">
        <w:rPr>
          <w:rFonts w:ascii="Times New Roman" w:hAnsi="Times New Roman"/>
          <w:bCs/>
          <w:sz w:val="22"/>
          <w:szCs w:val="22"/>
          <w:lang w:val="sr-Latn-RS" w:eastAsia="en-US"/>
        </w:rPr>
        <w:t>Republici Srpskoj</w:t>
      </w:r>
      <w:r w:rsidRPr="00512BE3">
        <w:rPr>
          <w:rFonts w:ascii="Times New Roman" w:hAnsi="Times New Roman"/>
          <w:sz w:val="22"/>
          <w:szCs w:val="22"/>
          <w:lang w:val="sr-Latn-RS" w:eastAsia="en-US"/>
        </w:rPr>
        <w:t xml:space="preserve"> raspoređen je ukupan iznos od </w:t>
      </w:r>
      <w:r w:rsidRPr="00512BE3">
        <w:rPr>
          <w:rFonts w:ascii="Times New Roman" w:hAnsi="Times New Roman"/>
          <w:bCs/>
          <w:sz w:val="22"/>
          <w:szCs w:val="22"/>
          <w:lang w:val="sr-Latn-RS" w:eastAsia="en-US"/>
        </w:rPr>
        <w:t>137.903.577,05 KM (39,00%),</w:t>
      </w:r>
    </w:p>
    <w:p w14:paraId="1EA8BDDC" w14:textId="16F67C50" w:rsidR="007803C9" w:rsidRPr="00512BE3" w:rsidRDefault="00AB5D08" w:rsidP="00193B94">
      <w:pPr>
        <w:pStyle w:val="NoSpacing"/>
        <w:numPr>
          <w:ilvl w:val="0"/>
          <w:numId w:val="25"/>
        </w:numPr>
        <w:rPr>
          <w:rFonts w:ascii="Times New Roman" w:hAnsi="Times New Roman"/>
          <w:bCs/>
          <w:sz w:val="22"/>
          <w:szCs w:val="22"/>
          <w:lang w:val="sr-Latn-RS" w:eastAsia="en-US"/>
        </w:rPr>
      </w:pPr>
      <w:r w:rsidRPr="00512BE3">
        <w:rPr>
          <w:rFonts w:ascii="Times New Roman" w:hAnsi="Times New Roman"/>
          <w:bCs/>
          <w:sz w:val="22"/>
          <w:szCs w:val="22"/>
          <w:lang w:val="sr-Latn-RS" w:eastAsia="en-US"/>
        </w:rPr>
        <w:t>Brčko Distriktu BiH</w:t>
      </w:r>
      <w:r w:rsidRPr="00512BE3">
        <w:rPr>
          <w:rFonts w:ascii="Times New Roman" w:hAnsi="Times New Roman"/>
          <w:sz w:val="22"/>
          <w:szCs w:val="22"/>
          <w:lang w:val="sr-Latn-RS" w:eastAsia="en-US"/>
        </w:rPr>
        <w:t xml:space="preserve"> raspoređen je ukupan iznos od </w:t>
      </w:r>
      <w:r w:rsidRPr="00512BE3">
        <w:rPr>
          <w:rFonts w:ascii="Times New Roman" w:hAnsi="Times New Roman"/>
          <w:bCs/>
          <w:sz w:val="22"/>
          <w:szCs w:val="22"/>
          <w:lang w:val="sr-Latn-RS" w:eastAsia="en-US"/>
        </w:rPr>
        <w:t>7.071.978,31 KM (2,00%).</w:t>
      </w:r>
      <w:r w:rsidRPr="00512BE3">
        <w:rPr>
          <w:rFonts w:ascii="Times New Roman" w:hAnsi="Times New Roman"/>
          <w:sz w:val="22"/>
          <w:szCs w:val="22"/>
          <w:lang w:val="sr-Latn-RS" w:eastAsia="en-US"/>
        </w:rPr>
        <w:t xml:space="preserve"> </w:t>
      </w:r>
    </w:p>
    <w:p w14:paraId="76212EEA" w14:textId="435F1FDC" w:rsidR="007803C9" w:rsidRPr="00512BE3" w:rsidRDefault="007803C9" w:rsidP="0095417A">
      <w:pPr>
        <w:pStyle w:val="NoSpacing"/>
        <w:rPr>
          <w:rFonts w:ascii="Times New Roman" w:hAnsi="Times New Roman"/>
          <w:sz w:val="22"/>
          <w:szCs w:val="22"/>
        </w:rPr>
      </w:pPr>
    </w:p>
    <w:p w14:paraId="68068F54" w14:textId="43130298" w:rsidR="0095417A" w:rsidRPr="00512BE3" w:rsidRDefault="006D4FAB" w:rsidP="007B6CB6">
      <w:pPr>
        <w:pStyle w:val="Heading1"/>
        <w:spacing w:before="0"/>
        <w:ind w:left="431" w:hanging="431"/>
        <w:rPr>
          <w:szCs w:val="24"/>
          <w:lang w:val="sr-Latn-CS"/>
        </w:rPr>
      </w:pPr>
      <w:bookmarkStart w:id="7" w:name="_Toc95294147"/>
      <w:bookmarkEnd w:id="6"/>
      <w:r w:rsidRPr="00512BE3">
        <w:rPr>
          <w:szCs w:val="24"/>
          <w:lang w:val="sr-Latn-CS"/>
        </w:rPr>
        <w:t>POVRAT INDIREKTNIH POREZA</w:t>
      </w:r>
      <w:bookmarkEnd w:id="7"/>
    </w:p>
    <w:p w14:paraId="4B574CAC" w14:textId="77777777" w:rsidR="007B6CB6" w:rsidRPr="00512BE3" w:rsidRDefault="007B6CB6" w:rsidP="007B6CB6">
      <w:pPr>
        <w:rPr>
          <w:lang w:val="sr-Latn-CS"/>
        </w:rPr>
      </w:pPr>
    </w:p>
    <w:p w14:paraId="48392AC8" w14:textId="4C2276A2" w:rsidR="00193B94" w:rsidRPr="00512BE3" w:rsidRDefault="004B5633" w:rsidP="007B6CB6">
      <w:pPr>
        <w:spacing w:before="80"/>
        <w:ind w:firstLine="431"/>
        <w:rPr>
          <w:sz w:val="22"/>
          <w:szCs w:val="22"/>
          <w:lang w:val="sr-Latn-CS"/>
        </w:rPr>
      </w:pPr>
      <w:r w:rsidRPr="00512BE3">
        <w:rPr>
          <w:sz w:val="22"/>
          <w:szCs w:val="22"/>
          <w:lang w:val="sr-Latn-CS"/>
        </w:rPr>
        <w:t>UIO je u 2022</w:t>
      </w:r>
      <w:r w:rsidR="00477124" w:rsidRPr="00512BE3">
        <w:rPr>
          <w:sz w:val="22"/>
          <w:szCs w:val="22"/>
          <w:lang w:val="sr-Latn-CS"/>
        </w:rPr>
        <w:t xml:space="preserve">. godini </w:t>
      </w:r>
      <w:r w:rsidR="00AB5D08" w:rsidRPr="00512BE3">
        <w:rPr>
          <w:sz w:val="22"/>
          <w:szCs w:val="22"/>
          <w:lang w:val="sr-Latn-CS"/>
        </w:rPr>
        <w:t>za potrebe povrata obveznicima indirektnih poreza rezervisala sredstva u iznosu od 2 milijarde i 99 miliona KM što je za 37,58% odnosno za cca 573 miliona KM više u odnosu na 2021. godinu</w:t>
      </w:r>
      <w:r w:rsidR="00477124" w:rsidRPr="00512BE3">
        <w:rPr>
          <w:sz w:val="22"/>
          <w:szCs w:val="22"/>
          <w:lang w:val="sr-Latn-CS"/>
        </w:rPr>
        <w:t>, a što je prikazano na Grafikonu 1.</w:t>
      </w:r>
    </w:p>
    <w:p w14:paraId="542B1E03" w14:textId="77777777" w:rsidR="00477124" w:rsidRPr="00512BE3" w:rsidRDefault="004D5929" w:rsidP="00477124">
      <w:pPr>
        <w:spacing w:before="80" w:after="80"/>
        <w:rPr>
          <w:b/>
          <w:i/>
          <w:sz w:val="22"/>
          <w:szCs w:val="18"/>
          <w:lang w:val="sr-Latn-CS"/>
        </w:rPr>
      </w:pPr>
      <w:r w:rsidRPr="00512BE3">
        <w:rPr>
          <w:b/>
          <w:i/>
          <w:sz w:val="22"/>
          <w:szCs w:val="18"/>
          <w:lang w:val="sr-Latn-CS"/>
        </w:rPr>
        <w:t>Grafikon 4</w:t>
      </w:r>
      <w:r w:rsidR="00477124" w:rsidRPr="00512BE3">
        <w:rPr>
          <w:b/>
          <w:i/>
          <w:sz w:val="22"/>
          <w:szCs w:val="18"/>
          <w:lang w:val="sr-Latn-CS"/>
        </w:rPr>
        <w:t>: Pregled rezervisanih sredstava za povrate po vrstama prihoda</w:t>
      </w:r>
    </w:p>
    <w:p w14:paraId="152B2D63" w14:textId="77777777" w:rsidR="00BA2EFF" w:rsidRPr="00512BE3" w:rsidRDefault="00E502C7" w:rsidP="004B342C">
      <w:pPr>
        <w:spacing w:before="80" w:after="80"/>
        <w:rPr>
          <w:b/>
          <w:i/>
          <w:sz w:val="22"/>
          <w:szCs w:val="18"/>
          <w:lang w:val="sr-Latn-CS"/>
        </w:rPr>
      </w:pPr>
      <w:r w:rsidRPr="00512BE3">
        <w:rPr>
          <w:noProof/>
          <w:lang w:val="bs-Latn-BA" w:eastAsia="bs-Latn-BA"/>
        </w:rPr>
        <w:drawing>
          <wp:inline distT="0" distB="0" distL="0" distR="0" wp14:anchorId="7BC9A86F" wp14:editId="024FB5EB">
            <wp:extent cx="5759450" cy="3119702"/>
            <wp:effectExtent l="0" t="0" r="1270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78EFB4" w14:textId="748D0C1A" w:rsidR="00477124" w:rsidRPr="00512BE3" w:rsidRDefault="004B5633" w:rsidP="0095417A">
      <w:pPr>
        <w:pStyle w:val="CalendarText"/>
        <w:spacing w:before="0" w:after="0"/>
        <w:ind w:firstLine="709"/>
        <w:jc w:val="both"/>
        <w:rPr>
          <w:rFonts w:ascii="Times New Roman" w:eastAsia="Times New Roman" w:hAnsi="Times New Roman"/>
          <w:color w:val="auto"/>
          <w:kern w:val="0"/>
          <w:sz w:val="22"/>
          <w:lang w:val="sr-Latn-BA" w:eastAsia="hr-HR"/>
        </w:rPr>
      </w:pPr>
      <w:r w:rsidRPr="00512BE3">
        <w:rPr>
          <w:rFonts w:ascii="Times New Roman" w:eastAsia="Times New Roman" w:hAnsi="Times New Roman"/>
          <w:color w:val="auto"/>
          <w:kern w:val="0"/>
          <w:sz w:val="22"/>
          <w:lang w:val="sr-Latn-BA" w:eastAsia="hr-HR"/>
        </w:rPr>
        <w:t>U 2022</w:t>
      </w:r>
      <w:r w:rsidR="00477124" w:rsidRPr="00512BE3">
        <w:rPr>
          <w:rFonts w:ascii="Times New Roman" w:eastAsia="Times New Roman" w:hAnsi="Times New Roman"/>
          <w:color w:val="auto"/>
          <w:kern w:val="0"/>
          <w:sz w:val="22"/>
          <w:lang w:val="sr-Latn-BA" w:eastAsia="hr-HR"/>
        </w:rPr>
        <w:t xml:space="preserve">. godini, izvršen je povrat po osnovu </w:t>
      </w:r>
      <w:r w:rsidR="00E502C7" w:rsidRPr="00512BE3">
        <w:rPr>
          <w:rFonts w:ascii="Times New Roman" w:eastAsia="Times New Roman" w:hAnsi="Times New Roman"/>
          <w:color w:val="auto"/>
          <w:kern w:val="0"/>
          <w:sz w:val="22"/>
          <w:lang w:val="sr-Latn-BA" w:eastAsia="hr-HR"/>
        </w:rPr>
        <w:t>83.383</w:t>
      </w:r>
      <w:r w:rsidR="00477124" w:rsidRPr="00512BE3">
        <w:rPr>
          <w:rFonts w:ascii="Times New Roman" w:eastAsia="Times New Roman" w:hAnsi="Times New Roman"/>
          <w:color w:val="auto"/>
          <w:kern w:val="0"/>
          <w:sz w:val="22"/>
          <w:lang w:val="sr-Latn-BA" w:eastAsia="hr-HR"/>
        </w:rPr>
        <w:t xml:space="preserve"> rješenja, od toga: </w:t>
      </w:r>
      <w:r w:rsidR="00E502C7" w:rsidRPr="00512BE3">
        <w:rPr>
          <w:rFonts w:ascii="Times New Roman" w:eastAsia="Times New Roman" w:hAnsi="Times New Roman"/>
          <w:color w:val="auto"/>
          <w:kern w:val="0"/>
          <w:sz w:val="22"/>
          <w:lang w:val="sr-Latn-BA" w:eastAsia="hr-HR"/>
        </w:rPr>
        <w:t xml:space="preserve">72.626 </w:t>
      </w:r>
      <w:r w:rsidR="00477124" w:rsidRPr="00512BE3">
        <w:rPr>
          <w:rFonts w:ascii="Times New Roman" w:eastAsia="Times New Roman" w:hAnsi="Times New Roman"/>
          <w:color w:val="auto"/>
          <w:kern w:val="0"/>
          <w:sz w:val="22"/>
          <w:lang w:val="sr-Latn-BA" w:eastAsia="hr-HR"/>
        </w:rPr>
        <w:t xml:space="preserve">rješenja za povrat PDV-a, </w:t>
      </w:r>
      <w:r w:rsidR="00E502C7" w:rsidRPr="00512BE3">
        <w:rPr>
          <w:rFonts w:ascii="Times New Roman" w:eastAsia="Times New Roman" w:hAnsi="Times New Roman"/>
          <w:color w:val="auto"/>
          <w:kern w:val="0"/>
          <w:sz w:val="22"/>
          <w:lang w:val="sr-Latn-BA" w:eastAsia="hr-HR"/>
        </w:rPr>
        <w:t>2.547</w:t>
      </w:r>
      <w:r w:rsidR="00477124" w:rsidRPr="00512BE3">
        <w:rPr>
          <w:rFonts w:ascii="Times New Roman" w:eastAsia="Times New Roman" w:hAnsi="Times New Roman"/>
          <w:color w:val="auto"/>
          <w:kern w:val="0"/>
          <w:sz w:val="22"/>
          <w:lang w:val="sr-Latn-BA" w:eastAsia="hr-HR"/>
        </w:rPr>
        <w:t xml:space="preserve"> rješenja za povrate sredstava uplaćenih u carinskom postupku, 3.8</w:t>
      </w:r>
      <w:r w:rsidR="00E502C7" w:rsidRPr="00512BE3">
        <w:rPr>
          <w:rFonts w:ascii="Times New Roman" w:eastAsia="Times New Roman" w:hAnsi="Times New Roman"/>
          <w:color w:val="auto"/>
          <w:kern w:val="0"/>
          <w:sz w:val="22"/>
          <w:lang w:val="sr-Latn-BA" w:eastAsia="hr-HR"/>
        </w:rPr>
        <w:t>2</w:t>
      </w:r>
      <w:r w:rsidR="00477124" w:rsidRPr="00512BE3">
        <w:rPr>
          <w:rFonts w:ascii="Times New Roman" w:eastAsia="Times New Roman" w:hAnsi="Times New Roman"/>
          <w:color w:val="auto"/>
          <w:kern w:val="0"/>
          <w:sz w:val="22"/>
          <w:lang w:val="sr-Latn-BA" w:eastAsia="hr-HR"/>
        </w:rPr>
        <w:t xml:space="preserve">0 rješenja za povrat PDV-a međunarodnim organizacijama i diplomatskim predstavništvima i po osnovu učešća u projektima koje finansira međunarodna zajednica, </w:t>
      </w:r>
      <w:r w:rsidR="00E502C7" w:rsidRPr="00512BE3">
        <w:rPr>
          <w:rFonts w:ascii="Times New Roman" w:eastAsia="Times New Roman" w:hAnsi="Times New Roman"/>
          <w:color w:val="auto"/>
          <w:kern w:val="0"/>
          <w:sz w:val="22"/>
          <w:lang w:val="sr-Latn-BA" w:eastAsia="hr-HR"/>
        </w:rPr>
        <w:t>4.368</w:t>
      </w:r>
      <w:r w:rsidR="00477124" w:rsidRPr="00512BE3">
        <w:rPr>
          <w:rFonts w:ascii="Times New Roman" w:eastAsia="Times New Roman" w:hAnsi="Times New Roman"/>
          <w:color w:val="auto"/>
          <w:kern w:val="0"/>
          <w:sz w:val="22"/>
          <w:lang w:val="sr-Latn-BA" w:eastAsia="hr-HR"/>
        </w:rPr>
        <w:t xml:space="preserve"> rješenja za povrat akcize</w:t>
      </w:r>
      <w:r w:rsidR="00E502C7" w:rsidRPr="00512BE3">
        <w:rPr>
          <w:rFonts w:ascii="Times New Roman" w:eastAsia="Times New Roman" w:hAnsi="Times New Roman"/>
          <w:color w:val="auto"/>
          <w:kern w:val="0"/>
          <w:sz w:val="22"/>
          <w:lang w:val="sr-Latn-BA" w:eastAsia="hr-HR"/>
        </w:rPr>
        <w:t xml:space="preserve"> </w:t>
      </w:r>
      <w:r w:rsidR="00477124" w:rsidRPr="00512BE3">
        <w:rPr>
          <w:rFonts w:ascii="Times New Roman" w:eastAsia="Times New Roman" w:hAnsi="Times New Roman"/>
          <w:color w:val="auto"/>
          <w:kern w:val="0"/>
          <w:sz w:val="22"/>
          <w:lang w:val="sr-Latn-BA" w:eastAsia="hr-HR"/>
        </w:rPr>
        <w:t xml:space="preserve">i </w:t>
      </w:r>
      <w:r w:rsidR="00E502C7" w:rsidRPr="00512BE3">
        <w:rPr>
          <w:rFonts w:ascii="Times New Roman" w:eastAsia="Times New Roman" w:hAnsi="Times New Roman"/>
          <w:color w:val="auto"/>
          <w:kern w:val="0"/>
          <w:sz w:val="22"/>
          <w:lang w:val="sr-Latn-BA" w:eastAsia="hr-HR"/>
        </w:rPr>
        <w:t>22</w:t>
      </w:r>
      <w:r w:rsidR="00477124" w:rsidRPr="00512BE3">
        <w:rPr>
          <w:rFonts w:ascii="Times New Roman" w:eastAsia="Times New Roman" w:hAnsi="Times New Roman"/>
          <w:color w:val="auto"/>
          <w:kern w:val="0"/>
          <w:sz w:val="22"/>
          <w:lang w:val="sr-Latn-BA" w:eastAsia="hr-HR"/>
        </w:rPr>
        <w:t xml:space="preserve"> povrata po osnovu rješenja kojim je odobren povrat više uplaćene putarine za izgradnju autoputeva.</w:t>
      </w:r>
    </w:p>
    <w:p w14:paraId="6012D60E" w14:textId="37FC4B77" w:rsidR="00477124" w:rsidRPr="00512BE3" w:rsidRDefault="00477124" w:rsidP="0095417A">
      <w:pPr>
        <w:pStyle w:val="CalendarText"/>
        <w:spacing w:before="0" w:after="0"/>
        <w:ind w:firstLine="709"/>
        <w:jc w:val="both"/>
        <w:rPr>
          <w:rFonts w:ascii="Times New Roman" w:eastAsia="Times New Roman" w:hAnsi="Times New Roman"/>
          <w:color w:val="auto"/>
          <w:kern w:val="0"/>
          <w:sz w:val="22"/>
          <w:lang w:val="sr-Latn-BA" w:eastAsia="hr-HR"/>
        </w:rPr>
      </w:pPr>
      <w:r w:rsidRPr="00512BE3">
        <w:rPr>
          <w:rFonts w:ascii="Times New Roman" w:eastAsia="Times New Roman" w:hAnsi="Times New Roman"/>
          <w:color w:val="auto"/>
          <w:kern w:val="0"/>
          <w:sz w:val="22"/>
          <w:lang w:val="sr-Latn-BA" w:eastAsia="hr-HR"/>
        </w:rPr>
        <w:t xml:space="preserve">UIO se i dalje </w:t>
      </w:r>
      <w:r w:rsidR="00E502C7" w:rsidRPr="00512BE3">
        <w:rPr>
          <w:rFonts w:ascii="Times New Roman" w:eastAsia="Times New Roman" w:hAnsi="Times New Roman"/>
          <w:color w:val="auto"/>
          <w:kern w:val="0"/>
          <w:sz w:val="22"/>
          <w:lang w:val="sr-Latn-BA" w:eastAsia="hr-HR"/>
        </w:rPr>
        <w:t xml:space="preserve">suočavala se sa problemima u blagovremenom izvršavanju povrata sredstava po osnovu položenih gotovinskih depozita za osiguranje duga, a koji su posljedica izvršene pljenidbe </w:t>
      </w:r>
      <w:r w:rsidR="00E502C7" w:rsidRPr="00512BE3">
        <w:rPr>
          <w:rFonts w:ascii="Times New Roman" w:eastAsia="Times New Roman" w:hAnsi="Times New Roman"/>
          <w:color w:val="auto"/>
          <w:kern w:val="0"/>
          <w:sz w:val="22"/>
          <w:lang w:val="sr-Latn-BA" w:eastAsia="hr-HR"/>
        </w:rPr>
        <w:lastRenderedPageBreak/>
        <w:t>sredstava prije donesenih odluka. Iz gore navedenog razloga zaključno sa 31.12.2022. godine, 626 zaprimljenih i pripremljenih rješenja za izvršenje, u ukupnom iznosu od 918.451,16 KM, UIO nije u mogućnosti izvršiti, te nastupaju štetne posljedice, kako za UI</w:t>
      </w:r>
      <w:r w:rsidR="0095417A" w:rsidRPr="00512BE3">
        <w:rPr>
          <w:rFonts w:ascii="Times New Roman" w:eastAsia="Times New Roman" w:hAnsi="Times New Roman"/>
          <w:color w:val="auto"/>
          <w:kern w:val="0"/>
          <w:sz w:val="22"/>
          <w:lang w:val="sr-Latn-BA" w:eastAsia="hr-HR"/>
        </w:rPr>
        <w:t xml:space="preserve">O, tako i za poreske obveznike. </w:t>
      </w:r>
      <w:r w:rsidR="00E502C7" w:rsidRPr="00512BE3">
        <w:rPr>
          <w:rFonts w:ascii="Times New Roman" w:eastAsia="Times New Roman" w:hAnsi="Times New Roman"/>
          <w:color w:val="auto"/>
          <w:kern w:val="0"/>
          <w:sz w:val="22"/>
          <w:lang w:val="sr-Latn-BA" w:eastAsia="hr-HR"/>
        </w:rPr>
        <w:t>Naime, obveznici pokreću izvršne postupke, i trenutno je pred Sudom BiH u toku 76 izvršnih postupaka, kao i 17 parničnih postupaka,</w:t>
      </w:r>
      <w:r w:rsidR="00050B48">
        <w:rPr>
          <w:rFonts w:ascii="Times New Roman" w:eastAsia="Times New Roman" w:hAnsi="Times New Roman"/>
          <w:color w:val="auto"/>
          <w:kern w:val="0"/>
          <w:sz w:val="22"/>
          <w:lang w:val="sr-Latn-BA" w:eastAsia="hr-HR"/>
        </w:rPr>
        <w:t xml:space="preserve"> </w:t>
      </w:r>
      <w:r w:rsidR="00E502C7" w:rsidRPr="00512BE3">
        <w:rPr>
          <w:rFonts w:ascii="Times New Roman" w:eastAsia="Times New Roman" w:hAnsi="Times New Roman"/>
          <w:color w:val="auto"/>
          <w:kern w:val="0"/>
          <w:sz w:val="22"/>
          <w:lang w:val="sr-Latn-BA" w:eastAsia="hr-HR"/>
        </w:rPr>
        <w:t>a od navedenog broja parničnih postupaka 15 predmeta se odnose na tužbe gdje je tužilac Ministarstvo finansija i trezora BiH, što dovodi do značajnih troškova izvršnih postupaka, kamata i sl. koje se moraju podmirivati iz budžeta UIO. Pored navedenog dodatni problem je i činjenica da su komercijalne banke koje su u sistemu Jedinstvenog računa intenzivno u 2022. godini započele pljenidbu sredstava sa depozitnog računa za osiguranje duga po zaprimanju pravosnažnih izvršnih rješenja od strane Suda BiH, a što dodatno usložnjava predmetnu situaciju i dovodi potencijalno do pokretanja novih izvršnih postupaka od strane obveznika čija se sredstva pl</w:t>
      </w:r>
      <w:r w:rsidR="00050B48">
        <w:rPr>
          <w:rFonts w:ascii="Times New Roman" w:eastAsia="Times New Roman" w:hAnsi="Times New Roman"/>
          <w:color w:val="auto"/>
          <w:kern w:val="0"/>
          <w:sz w:val="22"/>
          <w:lang w:val="sr-Latn-BA" w:eastAsia="hr-HR"/>
        </w:rPr>
        <w:t>i</w:t>
      </w:r>
      <w:r w:rsidR="00E502C7" w:rsidRPr="00512BE3">
        <w:rPr>
          <w:rFonts w:ascii="Times New Roman" w:eastAsia="Times New Roman" w:hAnsi="Times New Roman"/>
          <w:color w:val="auto"/>
          <w:kern w:val="0"/>
          <w:sz w:val="22"/>
          <w:lang w:val="sr-Latn-BA" w:eastAsia="hr-HR"/>
        </w:rPr>
        <w:t xml:space="preserve">jene </w:t>
      </w:r>
      <w:r w:rsidR="00050B48">
        <w:rPr>
          <w:rFonts w:ascii="Times New Roman" w:eastAsia="Times New Roman" w:hAnsi="Times New Roman"/>
          <w:color w:val="auto"/>
          <w:kern w:val="0"/>
          <w:sz w:val="22"/>
          <w:lang w:val="sr-Latn-BA" w:eastAsia="hr-HR"/>
        </w:rPr>
        <w:t>u svrhu izvršenja</w:t>
      </w:r>
      <w:r w:rsidR="00E502C7" w:rsidRPr="00512BE3">
        <w:rPr>
          <w:rFonts w:ascii="Times New Roman" w:eastAsia="Times New Roman" w:hAnsi="Times New Roman"/>
          <w:color w:val="auto"/>
          <w:kern w:val="0"/>
          <w:sz w:val="22"/>
          <w:lang w:val="sr-Latn-BA" w:eastAsia="hr-HR"/>
        </w:rPr>
        <w:t xml:space="preserve"> pravosn</w:t>
      </w:r>
      <w:r w:rsidR="00050B48">
        <w:rPr>
          <w:rFonts w:ascii="Times New Roman" w:eastAsia="Times New Roman" w:hAnsi="Times New Roman"/>
          <w:color w:val="auto"/>
          <w:kern w:val="0"/>
          <w:sz w:val="22"/>
          <w:lang w:val="sr-Latn-BA" w:eastAsia="hr-HR"/>
        </w:rPr>
        <w:t>ažnih</w:t>
      </w:r>
      <w:r w:rsidR="0095417A" w:rsidRPr="00512BE3">
        <w:rPr>
          <w:rFonts w:ascii="Times New Roman" w:eastAsia="Times New Roman" w:hAnsi="Times New Roman"/>
          <w:color w:val="auto"/>
          <w:kern w:val="0"/>
          <w:sz w:val="22"/>
          <w:lang w:val="sr-Latn-BA" w:eastAsia="hr-HR"/>
        </w:rPr>
        <w:t xml:space="preserve"> izvršn</w:t>
      </w:r>
      <w:r w:rsidR="00050B48">
        <w:rPr>
          <w:rFonts w:ascii="Times New Roman" w:eastAsia="Times New Roman" w:hAnsi="Times New Roman"/>
          <w:color w:val="auto"/>
          <w:kern w:val="0"/>
          <w:sz w:val="22"/>
          <w:lang w:val="sr-Latn-BA" w:eastAsia="hr-HR"/>
        </w:rPr>
        <w:t>ih</w:t>
      </w:r>
      <w:r w:rsidR="0095417A" w:rsidRPr="00512BE3">
        <w:rPr>
          <w:rFonts w:ascii="Times New Roman" w:eastAsia="Times New Roman" w:hAnsi="Times New Roman"/>
          <w:color w:val="auto"/>
          <w:kern w:val="0"/>
          <w:sz w:val="22"/>
          <w:lang w:val="sr-Latn-BA" w:eastAsia="hr-HR"/>
        </w:rPr>
        <w:t xml:space="preserve"> rješenja Suda BiH. </w:t>
      </w:r>
      <w:r w:rsidR="00E502C7" w:rsidRPr="00512BE3">
        <w:rPr>
          <w:rFonts w:ascii="Times New Roman" w:eastAsia="Times New Roman" w:hAnsi="Times New Roman"/>
          <w:color w:val="auto"/>
          <w:kern w:val="0"/>
          <w:sz w:val="22"/>
          <w:lang w:val="sr-Latn-BA" w:eastAsia="hr-HR"/>
        </w:rPr>
        <w:t>Tako je zaključno sa 31.12.2022. godine u postupku prinudne naplate izvršena pljenidba sredstava sa depozitnih računa za osiguranje duga po osnovu 63 pravosnažna izvršna rješenja Suda BiH u ukupnom iznosu od 169.216,76 KM (glavni dug, troškovi postupka i zatezna kamata).</w:t>
      </w:r>
      <w:r w:rsidR="0095417A" w:rsidRPr="00512BE3">
        <w:rPr>
          <w:rFonts w:ascii="Times New Roman" w:eastAsia="Times New Roman" w:hAnsi="Times New Roman"/>
          <w:color w:val="auto"/>
          <w:kern w:val="0"/>
          <w:sz w:val="22"/>
          <w:lang w:val="sr-Latn-BA" w:eastAsia="hr-HR"/>
        </w:rPr>
        <w:t xml:space="preserve"> </w:t>
      </w:r>
      <w:r w:rsidR="00E502C7" w:rsidRPr="00512BE3">
        <w:rPr>
          <w:rFonts w:ascii="Times New Roman" w:eastAsia="Times New Roman" w:hAnsi="Times New Roman"/>
          <w:color w:val="auto"/>
          <w:kern w:val="0"/>
          <w:sz w:val="22"/>
          <w:lang w:val="sr-Latn-BA" w:eastAsia="hr-HR"/>
        </w:rPr>
        <w:t>UIO je i u 2022. godini redovno obavještavala Upravni odbor UIO o problemima koje je prouzrokoval</w:t>
      </w:r>
      <w:r w:rsidR="00050B48">
        <w:rPr>
          <w:rFonts w:ascii="Times New Roman" w:eastAsia="Times New Roman" w:hAnsi="Times New Roman"/>
          <w:color w:val="auto"/>
          <w:kern w:val="0"/>
          <w:sz w:val="22"/>
          <w:lang w:val="sr-Latn-BA" w:eastAsia="hr-HR"/>
        </w:rPr>
        <w:t>o</w:t>
      </w:r>
      <w:r w:rsidR="00E502C7" w:rsidRPr="00512BE3">
        <w:rPr>
          <w:rFonts w:ascii="Times New Roman" w:eastAsia="Times New Roman" w:hAnsi="Times New Roman"/>
          <w:color w:val="auto"/>
          <w:kern w:val="0"/>
          <w:sz w:val="22"/>
          <w:lang w:val="sr-Latn-BA" w:eastAsia="hr-HR"/>
        </w:rPr>
        <w:t xml:space="preserve"> predmetn</w:t>
      </w:r>
      <w:r w:rsidR="00050B48">
        <w:rPr>
          <w:rFonts w:ascii="Times New Roman" w:eastAsia="Times New Roman" w:hAnsi="Times New Roman"/>
          <w:color w:val="auto"/>
          <w:kern w:val="0"/>
          <w:sz w:val="22"/>
          <w:lang w:val="sr-Latn-BA" w:eastAsia="hr-HR"/>
        </w:rPr>
        <w:t>o</w:t>
      </w:r>
      <w:r w:rsidR="00E502C7" w:rsidRPr="00512BE3">
        <w:rPr>
          <w:rFonts w:ascii="Times New Roman" w:eastAsia="Times New Roman" w:hAnsi="Times New Roman"/>
          <w:color w:val="auto"/>
          <w:kern w:val="0"/>
          <w:sz w:val="22"/>
          <w:lang w:val="sr-Latn-BA" w:eastAsia="hr-HR"/>
        </w:rPr>
        <w:t xml:space="preserve"> prinudn</w:t>
      </w:r>
      <w:r w:rsidR="00050B48">
        <w:rPr>
          <w:rFonts w:ascii="Times New Roman" w:eastAsia="Times New Roman" w:hAnsi="Times New Roman"/>
          <w:color w:val="auto"/>
          <w:kern w:val="0"/>
          <w:sz w:val="22"/>
          <w:lang w:val="sr-Latn-BA" w:eastAsia="hr-HR"/>
        </w:rPr>
        <w:t>o izvršenje</w:t>
      </w:r>
      <w:r w:rsidR="00E502C7" w:rsidRPr="00512BE3">
        <w:rPr>
          <w:rFonts w:ascii="Times New Roman" w:eastAsia="Times New Roman" w:hAnsi="Times New Roman"/>
          <w:color w:val="auto"/>
          <w:kern w:val="0"/>
          <w:sz w:val="22"/>
          <w:lang w:val="sr-Latn-BA" w:eastAsia="hr-HR"/>
        </w:rPr>
        <w:t>, i sa kojima se UIO svakodnevno suočava, a poseban problem je nemogućnost izvršavanja povrata sredstava sa depozitnih računa za osiguranje duga, uz dostavljanje prijedloga za moguće rješenje navedene problematike i sprječavanje daljih posljedica po Jedinstveni račun za koji je odgovorna UIO, a što do sada nije dalo očekivane rezultate.</w:t>
      </w:r>
    </w:p>
    <w:p w14:paraId="4DAAD09E" w14:textId="77777777" w:rsidR="00193DBC" w:rsidRPr="00512BE3" w:rsidRDefault="00E62618" w:rsidP="00193DBC">
      <w:pPr>
        <w:pStyle w:val="Heading1"/>
        <w:spacing w:before="0" w:after="120"/>
        <w:ind w:left="431" w:hanging="431"/>
        <w:rPr>
          <w:lang w:val="bs-Latn-BA"/>
        </w:rPr>
      </w:pPr>
      <w:bookmarkStart w:id="8" w:name="_Toc95294148"/>
      <w:r w:rsidRPr="00512BE3">
        <w:t>PRINUDNA NAPLATA</w:t>
      </w:r>
      <w:bookmarkEnd w:id="8"/>
      <w:r w:rsidRPr="00512BE3">
        <w:t xml:space="preserve"> </w:t>
      </w:r>
    </w:p>
    <w:p w14:paraId="2D122F11" w14:textId="77777777" w:rsidR="00136AE0" w:rsidRPr="00512BE3" w:rsidRDefault="00136AE0" w:rsidP="00136AE0">
      <w:pPr>
        <w:ind w:firstLine="360"/>
        <w:jc w:val="both"/>
        <w:rPr>
          <w:sz w:val="22"/>
          <w:szCs w:val="22"/>
          <w:lang w:val="bs-Latn-BA"/>
        </w:rPr>
      </w:pPr>
      <w:r w:rsidRPr="00512BE3">
        <w:rPr>
          <w:sz w:val="22"/>
          <w:szCs w:val="22"/>
          <w:lang w:val="bs-Latn-BA"/>
        </w:rPr>
        <w:t>Na dan 2</w:t>
      </w:r>
      <w:r w:rsidR="003079BF" w:rsidRPr="00512BE3">
        <w:rPr>
          <w:sz w:val="22"/>
          <w:szCs w:val="22"/>
          <w:lang w:val="bs-Latn-BA"/>
        </w:rPr>
        <w:t>3</w:t>
      </w:r>
      <w:r w:rsidRPr="00512BE3">
        <w:rPr>
          <w:sz w:val="22"/>
          <w:szCs w:val="22"/>
          <w:lang w:val="bs-Latn-BA"/>
        </w:rPr>
        <w:t>.01.202</w:t>
      </w:r>
      <w:r w:rsidR="003079BF" w:rsidRPr="00512BE3">
        <w:rPr>
          <w:sz w:val="22"/>
          <w:szCs w:val="22"/>
          <w:lang w:val="bs-Latn-BA"/>
        </w:rPr>
        <w:t>3</w:t>
      </w:r>
      <w:r w:rsidRPr="00512BE3">
        <w:rPr>
          <w:sz w:val="22"/>
          <w:szCs w:val="22"/>
          <w:lang w:val="bs-Latn-BA"/>
        </w:rPr>
        <w:t>. godine (nakon proteka obračunskog perioda i plaćanja zaključno sa posljednim poreznim periodom u 202</w:t>
      </w:r>
      <w:r w:rsidR="003079BF" w:rsidRPr="00512BE3">
        <w:rPr>
          <w:sz w:val="22"/>
          <w:szCs w:val="22"/>
          <w:lang w:val="bs-Latn-BA"/>
        </w:rPr>
        <w:t>2</w:t>
      </w:r>
      <w:r w:rsidRPr="00512BE3">
        <w:rPr>
          <w:sz w:val="22"/>
          <w:szCs w:val="22"/>
          <w:lang w:val="bs-Latn-BA"/>
        </w:rPr>
        <w:t xml:space="preserve">. godini – 2112) evidentirano je ukupno duga </w:t>
      </w:r>
      <w:r w:rsidR="003079BF" w:rsidRPr="00512BE3">
        <w:rPr>
          <w:sz w:val="22"/>
          <w:szCs w:val="22"/>
          <w:lang w:val="bs-Latn-BA"/>
        </w:rPr>
        <w:t>(period nastanka duga je od 2012.-2022</w:t>
      </w:r>
      <w:r w:rsidR="00356A84" w:rsidRPr="00512BE3">
        <w:rPr>
          <w:sz w:val="22"/>
          <w:szCs w:val="22"/>
          <w:lang w:val="bs-Latn-BA"/>
        </w:rPr>
        <w:t xml:space="preserve">. godine) </w:t>
      </w:r>
      <w:r w:rsidRPr="00512BE3">
        <w:rPr>
          <w:sz w:val="22"/>
          <w:szCs w:val="22"/>
          <w:lang w:val="bs-Latn-BA"/>
        </w:rPr>
        <w:t xml:space="preserve">u iznosu od </w:t>
      </w:r>
      <w:r w:rsidR="003079BF" w:rsidRPr="00512BE3">
        <w:rPr>
          <w:sz w:val="22"/>
          <w:szCs w:val="22"/>
          <w:lang w:val="bs-Latn-BA"/>
        </w:rPr>
        <w:t>401.334.712,25</w:t>
      </w:r>
      <w:r w:rsidRPr="00512BE3">
        <w:rPr>
          <w:sz w:val="22"/>
          <w:szCs w:val="22"/>
          <w:lang w:val="bs-Latn-BA"/>
        </w:rPr>
        <w:t xml:space="preserve"> KM i to:  </w:t>
      </w:r>
    </w:p>
    <w:p w14:paraId="2DA467B5" w14:textId="77777777" w:rsidR="003079BF" w:rsidRPr="00512BE3" w:rsidRDefault="003079BF" w:rsidP="003079BF">
      <w:pPr>
        <w:ind w:firstLine="284"/>
        <w:jc w:val="both"/>
        <w:rPr>
          <w:sz w:val="22"/>
          <w:szCs w:val="22"/>
          <w:lang w:val="bs-Latn-BA"/>
        </w:rPr>
      </w:pPr>
      <w:r w:rsidRPr="00512BE3">
        <w:rPr>
          <w:sz w:val="22"/>
          <w:szCs w:val="22"/>
          <w:lang w:val="bs-Latn-BA"/>
        </w:rPr>
        <w:t>-</w:t>
      </w:r>
      <w:r w:rsidRPr="00512BE3">
        <w:rPr>
          <w:sz w:val="22"/>
          <w:szCs w:val="22"/>
          <w:lang w:val="bs-Latn-BA"/>
        </w:rPr>
        <w:tab/>
        <w:t>po osnovu PDV-a: 369.217.704,50 KM,</w:t>
      </w:r>
    </w:p>
    <w:p w14:paraId="172B5E01" w14:textId="77777777" w:rsidR="003079BF" w:rsidRPr="00512BE3" w:rsidRDefault="003079BF" w:rsidP="003079BF">
      <w:pPr>
        <w:ind w:firstLine="284"/>
        <w:jc w:val="both"/>
        <w:rPr>
          <w:sz w:val="22"/>
          <w:szCs w:val="22"/>
          <w:lang w:val="bs-Latn-BA"/>
        </w:rPr>
      </w:pPr>
      <w:r w:rsidRPr="00512BE3">
        <w:rPr>
          <w:sz w:val="22"/>
          <w:szCs w:val="22"/>
          <w:lang w:val="bs-Latn-BA"/>
        </w:rPr>
        <w:t>-</w:t>
      </w:r>
      <w:r w:rsidRPr="00512BE3">
        <w:rPr>
          <w:sz w:val="22"/>
          <w:szCs w:val="22"/>
          <w:lang w:val="bs-Latn-BA"/>
        </w:rPr>
        <w:tab/>
        <w:t>po osnovu akcize: 14.523.915,29 KM,</w:t>
      </w:r>
    </w:p>
    <w:p w14:paraId="75C1F845" w14:textId="77777777" w:rsidR="003079BF" w:rsidRPr="00512BE3" w:rsidRDefault="003079BF" w:rsidP="003079BF">
      <w:pPr>
        <w:ind w:firstLine="284"/>
        <w:jc w:val="both"/>
        <w:rPr>
          <w:sz w:val="22"/>
          <w:szCs w:val="22"/>
          <w:lang w:val="bs-Latn-BA"/>
        </w:rPr>
      </w:pPr>
      <w:r w:rsidRPr="00512BE3">
        <w:rPr>
          <w:sz w:val="22"/>
          <w:szCs w:val="22"/>
          <w:lang w:val="bs-Latn-BA"/>
        </w:rPr>
        <w:t>-</w:t>
      </w:r>
      <w:r w:rsidRPr="00512BE3">
        <w:rPr>
          <w:sz w:val="22"/>
          <w:szCs w:val="22"/>
          <w:lang w:val="bs-Latn-BA"/>
        </w:rPr>
        <w:tab/>
        <w:t>po osnovu carinskih dažbina: 15.003.077,50 KM,</w:t>
      </w:r>
    </w:p>
    <w:p w14:paraId="2D5E59D7" w14:textId="77777777" w:rsidR="003079BF" w:rsidRPr="00512BE3" w:rsidRDefault="003079BF" w:rsidP="003079BF">
      <w:pPr>
        <w:ind w:firstLine="284"/>
        <w:jc w:val="both"/>
        <w:rPr>
          <w:sz w:val="22"/>
          <w:szCs w:val="22"/>
          <w:lang w:val="bs-Latn-BA"/>
        </w:rPr>
      </w:pPr>
      <w:r w:rsidRPr="00512BE3">
        <w:rPr>
          <w:sz w:val="22"/>
          <w:szCs w:val="22"/>
          <w:lang w:val="bs-Latn-BA"/>
        </w:rPr>
        <w:t>-</w:t>
      </w:r>
      <w:r w:rsidRPr="00512BE3">
        <w:rPr>
          <w:sz w:val="22"/>
          <w:szCs w:val="22"/>
          <w:lang w:val="bs-Latn-BA"/>
        </w:rPr>
        <w:tab/>
        <w:t>po osnovu ostalih prihoda (terminali): 2.590.014,96 KM</w:t>
      </w:r>
    </w:p>
    <w:p w14:paraId="17A960CE" w14:textId="77777777" w:rsidR="005E4711" w:rsidRPr="00512BE3" w:rsidRDefault="005E4711" w:rsidP="00817105">
      <w:pPr>
        <w:jc w:val="both"/>
        <w:rPr>
          <w:sz w:val="22"/>
          <w:szCs w:val="22"/>
          <w:lang w:val="bs-Latn-BA"/>
        </w:rPr>
      </w:pPr>
    </w:p>
    <w:p w14:paraId="01C7BC04" w14:textId="308FB42D" w:rsidR="00136AE0" w:rsidRPr="00512BE3" w:rsidRDefault="003079BF" w:rsidP="0095417A">
      <w:pPr>
        <w:ind w:firstLine="709"/>
        <w:jc w:val="both"/>
        <w:rPr>
          <w:sz w:val="22"/>
          <w:szCs w:val="22"/>
          <w:lang w:val="hr-BA"/>
        </w:rPr>
      </w:pPr>
      <w:r w:rsidRPr="00512BE3">
        <w:rPr>
          <w:sz w:val="22"/>
          <w:szCs w:val="22"/>
          <w:lang w:val="bs-Latn-BA"/>
        </w:rPr>
        <w:t xml:space="preserve">U poređenju stanja duga na kraju 2022. godine u odnosu na 2021. godinu (stanje duga 455.328.362,97  KM) evidentno je umanjenje ukupnog duga u 2022. godini za iznos od cca 54 miliona KM. Uzimajući u obzir podatak iz prethodnog izvještajnog perioda (Izvještaj o radu za 2021. godinu) gdje je u odnosu na 2020. godinu (529.346.532,68 KM), evidentirano umanjenje ukupnog duga za iznos od cca 74 mil KM, može se konstatovati  da je ukupan iznos duga nad kojim se vodi postupak prinudne naplate u padu. </w:t>
      </w:r>
      <w:r w:rsidRPr="00512BE3">
        <w:rPr>
          <w:sz w:val="22"/>
          <w:szCs w:val="22"/>
        </w:rPr>
        <w:t xml:space="preserve">Ukoliko se uzme u obzir da je u periodu od 2005.-2022. godine UIO prikupila ukupno 113.548.616.622,06 KM prihoda od indirektnih poreza, ostalih prihoda i taksi, ukupan dug nad kojim se vodi postupak prinudne naplate koji iznosi 401.334.712,25 KM, i to za period nastanka od 2012.-2022. godine, zauzima minimalni procentualni iznos i to 0,35% dok je taj procenat u 2021. godini iznosio 0,45%. Daljom analizom duga utvrđeno je da se 31,05 % duga odnosi na 50 dužnika (u 2021. godini procenat je iznosio 28,50% za 57 dužnika) čiji dug po osnovu neplaćenih indirektnih poreza prelazi preko milion KM. Isto tako, na </w:t>
      </w:r>
      <w:r w:rsidR="00050B48">
        <w:rPr>
          <w:sz w:val="22"/>
          <w:szCs w:val="22"/>
        </w:rPr>
        <w:t>pet</w:t>
      </w:r>
      <w:r w:rsidRPr="00512BE3">
        <w:rPr>
          <w:sz w:val="22"/>
          <w:szCs w:val="22"/>
        </w:rPr>
        <w:t xml:space="preserve"> najvećih dužnika, čiji dug prelazi preko 5 miliona KM, odnosi se 12,70 % (u 2021. godini procenat je iznosio 10,85%) ukupnog duga. U provedenim postupcima prinudne naplate u cilju namirenja duga milionskih dužnika provedene su sve mjere prinudne naplate u skladu sa važećim zakonskim i podzakonskim propisima. </w:t>
      </w:r>
      <w:r w:rsidR="000A4A68" w:rsidRPr="00512BE3">
        <w:rPr>
          <w:sz w:val="22"/>
          <w:szCs w:val="22"/>
          <w:lang w:eastAsia="sr-Latn-CS"/>
        </w:rPr>
        <w:t xml:space="preserve">Kao i prethodnih godina najveći iznos duga odnosi se na dug po osnovu poreza na dodanu vrijednost nastalog prijavama samooporezivanja i razrezom po kontroli. </w:t>
      </w:r>
      <w:r w:rsidRPr="00512BE3">
        <w:rPr>
          <w:sz w:val="22"/>
          <w:szCs w:val="22"/>
          <w:lang w:val="hr-BA"/>
        </w:rPr>
        <w:t xml:space="preserve">U odnosu na ukupni iznos duga po osnovu neplaćenog PDV-a i akcize (ukupno 383.741.619,79 KM), izvršena je uporedna analiza dugova prema entiteskom sjedištu dužnika, kako slijedi : </w:t>
      </w:r>
      <w:r w:rsidR="00136AE0" w:rsidRPr="00512BE3">
        <w:rPr>
          <w:sz w:val="22"/>
          <w:szCs w:val="22"/>
          <w:lang w:val="hr-BA"/>
        </w:rPr>
        <w:t xml:space="preserve"> </w:t>
      </w:r>
    </w:p>
    <w:p w14:paraId="66848CB7" w14:textId="071F6894" w:rsidR="00CD085E" w:rsidRPr="00512BE3" w:rsidRDefault="00CD085E" w:rsidP="00F3099E">
      <w:pPr>
        <w:jc w:val="both"/>
        <w:rPr>
          <w:b/>
          <w:i/>
          <w:sz w:val="22"/>
          <w:szCs w:val="22"/>
          <w:lang w:val="hr-BA"/>
        </w:rPr>
      </w:pPr>
      <w:r w:rsidRPr="00512BE3">
        <w:rPr>
          <w:b/>
          <w:i/>
          <w:sz w:val="22"/>
          <w:szCs w:val="22"/>
          <w:lang w:val="hr-BA"/>
        </w:rPr>
        <w:t xml:space="preserve">Tabela </w:t>
      </w:r>
      <w:r w:rsidR="008B1C79" w:rsidRPr="00512BE3">
        <w:rPr>
          <w:b/>
          <w:i/>
          <w:sz w:val="22"/>
          <w:szCs w:val="22"/>
          <w:lang w:val="hr-BA"/>
        </w:rPr>
        <w:t>3</w:t>
      </w:r>
      <w:r w:rsidRPr="00512BE3">
        <w:rPr>
          <w:b/>
          <w:i/>
          <w:sz w:val="22"/>
          <w:szCs w:val="22"/>
          <w:lang w:val="hr-BA"/>
        </w:rPr>
        <w:t>:</w:t>
      </w:r>
      <w:r w:rsidR="00826092" w:rsidRPr="00512BE3">
        <w:rPr>
          <w:b/>
          <w:i/>
          <w:sz w:val="22"/>
          <w:szCs w:val="22"/>
          <w:lang w:val="hr-BA"/>
        </w:rPr>
        <w:t xml:space="preserve"> P</w:t>
      </w:r>
      <w:r w:rsidRPr="00512BE3">
        <w:rPr>
          <w:b/>
          <w:i/>
          <w:sz w:val="22"/>
          <w:szCs w:val="22"/>
          <w:lang w:val="hr-BA"/>
        </w:rPr>
        <w:t>rinudna naplata PDV-a i akcize</w:t>
      </w:r>
    </w:p>
    <w:tbl>
      <w:tblPr>
        <w:tblStyle w:val="GridTable4-Accent6"/>
        <w:tblW w:w="0" w:type="auto"/>
        <w:tblLook w:val="04A0" w:firstRow="1" w:lastRow="0" w:firstColumn="1" w:lastColumn="0" w:noHBand="0" w:noVBand="1"/>
      </w:tblPr>
      <w:tblGrid>
        <w:gridCol w:w="2597"/>
        <w:gridCol w:w="3208"/>
        <w:gridCol w:w="3208"/>
      </w:tblGrid>
      <w:tr w:rsidR="003079BF" w:rsidRPr="00512BE3" w14:paraId="16E4C64B" w14:textId="77777777" w:rsidTr="003079BF">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7" w:type="dxa"/>
            <w:vAlign w:val="center"/>
          </w:tcPr>
          <w:p w14:paraId="06172938" w14:textId="77777777" w:rsidR="003079BF" w:rsidRPr="00512BE3" w:rsidRDefault="003079BF" w:rsidP="003079BF">
            <w:pPr>
              <w:jc w:val="both"/>
              <w:rPr>
                <w:color w:val="auto"/>
                <w:sz w:val="22"/>
                <w:szCs w:val="22"/>
                <w:lang w:val="hr-BA" w:eastAsia="sr-Latn-CS"/>
              </w:rPr>
            </w:pPr>
            <w:r w:rsidRPr="00512BE3">
              <w:rPr>
                <w:color w:val="auto"/>
                <w:sz w:val="22"/>
                <w:szCs w:val="22"/>
                <w:lang w:val="hr-BA" w:eastAsia="sr-Latn-CS"/>
              </w:rPr>
              <w:t>PDV i akciza – dug KM</w:t>
            </w:r>
          </w:p>
        </w:tc>
        <w:tc>
          <w:tcPr>
            <w:tcW w:w="3208" w:type="dxa"/>
            <w:vAlign w:val="center"/>
          </w:tcPr>
          <w:p w14:paraId="41950091" w14:textId="77777777" w:rsidR="003079BF" w:rsidRPr="00512BE3" w:rsidRDefault="003079BF" w:rsidP="003079BF">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hr-BA" w:eastAsia="sr-Latn-CS"/>
              </w:rPr>
            </w:pPr>
            <w:r w:rsidRPr="00512BE3">
              <w:rPr>
                <w:color w:val="auto"/>
                <w:sz w:val="22"/>
                <w:szCs w:val="22"/>
                <w:lang w:val="hr-BA" w:eastAsia="sr-Latn-CS"/>
              </w:rPr>
              <w:t>2021.</w:t>
            </w:r>
          </w:p>
        </w:tc>
        <w:tc>
          <w:tcPr>
            <w:tcW w:w="3208" w:type="dxa"/>
            <w:vAlign w:val="center"/>
          </w:tcPr>
          <w:p w14:paraId="0C438F80" w14:textId="77777777" w:rsidR="003079BF" w:rsidRPr="00512BE3" w:rsidRDefault="003079BF" w:rsidP="003079BF">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hr-BA" w:eastAsia="sr-Latn-CS"/>
              </w:rPr>
            </w:pPr>
            <w:r w:rsidRPr="00512BE3">
              <w:rPr>
                <w:color w:val="auto"/>
                <w:sz w:val="22"/>
                <w:szCs w:val="22"/>
                <w:lang w:val="hr-BA" w:eastAsia="sr-Latn-CS"/>
              </w:rPr>
              <w:t>2022.</w:t>
            </w:r>
          </w:p>
        </w:tc>
      </w:tr>
      <w:tr w:rsidR="003079BF" w:rsidRPr="00512BE3" w14:paraId="5BF1E07A" w14:textId="77777777" w:rsidTr="003079B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597" w:type="dxa"/>
          </w:tcPr>
          <w:p w14:paraId="6197E5D7" w14:textId="77777777" w:rsidR="003079BF" w:rsidRPr="00512BE3" w:rsidRDefault="003079BF" w:rsidP="003079BF">
            <w:pPr>
              <w:jc w:val="both"/>
              <w:rPr>
                <w:b w:val="0"/>
                <w:sz w:val="22"/>
                <w:szCs w:val="22"/>
                <w:lang w:val="hr-BA" w:eastAsia="sr-Latn-CS"/>
              </w:rPr>
            </w:pPr>
            <w:r w:rsidRPr="00512BE3">
              <w:rPr>
                <w:b w:val="0"/>
                <w:sz w:val="22"/>
                <w:szCs w:val="22"/>
                <w:lang w:val="hr-BA" w:eastAsia="sr-Latn-CS"/>
              </w:rPr>
              <w:t>Federacija BiH</w:t>
            </w:r>
          </w:p>
        </w:tc>
        <w:tc>
          <w:tcPr>
            <w:tcW w:w="3208" w:type="dxa"/>
          </w:tcPr>
          <w:p w14:paraId="1B594498" w14:textId="77777777" w:rsidR="003079BF" w:rsidRPr="00512BE3" w:rsidRDefault="003079BF" w:rsidP="003079BF">
            <w:pPr>
              <w:jc w:val="right"/>
              <w:cnfStyle w:val="000000100000" w:firstRow="0" w:lastRow="0" w:firstColumn="0" w:lastColumn="0" w:oddVBand="0" w:evenVBand="0" w:oddHBand="1" w:evenHBand="0" w:firstRowFirstColumn="0" w:firstRowLastColumn="0" w:lastRowFirstColumn="0" w:lastRowLastColumn="0"/>
              <w:rPr>
                <w:sz w:val="22"/>
                <w:szCs w:val="22"/>
                <w:lang w:val="hr-BA" w:eastAsia="sr-Latn-CS"/>
              </w:rPr>
            </w:pPr>
            <w:r w:rsidRPr="00512BE3">
              <w:rPr>
                <w:sz w:val="22"/>
                <w:szCs w:val="22"/>
                <w:lang w:val="hr-BA" w:eastAsia="sr-Latn-CS"/>
              </w:rPr>
              <w:t>284.679.220,78</w:t>
            </w:r>
          </w:p>
        </w:tc>
        <w:tc>
          <w:tcPr>
            <w:tcW w:w="3208" w:type="dxa"/>
          </w:tcPr>
          <w:p w14:paraId="4AA94CBE" w14:textId="77777777" w:rsidR="003079BF" w:rsidRPr="00512BE3" w:rsidRDefault="003079BF" w:rsidP="003079BF">
            <w:pPr>
              <w:jc w:val="right"/>
              <w:cnfStyle w:val="000000100000" w:firstRow="0" w:lastRow="0" w:firstColumn="0" w:lastColumn="0" w:oddVBand="0" w:evenVBand="0" w:oddHBand="1" w:evenHBand="0" w:firstRowFirstColumn="0" w:firstRowLastColumn="0" w:lastRowFirstColumn="0" w:lastRowLastColumn="0"/>
              <w:rPr>
                <w:sz w:val="22"/>
                <w:szCs w:val="22"/>
                <w:lang w:val="hr-BA" w:eastAsia="sr-Latn-CS"/>
              </w:rPr>
            </w:pPr>
            <w:r w:rsidRPr="00512BE3">
              <w:rPr>
                <w:sz w:val="22"/>
                <w:szCs w:val="22"/>
                <w:lang w:val="hr-BA" w:eastAsia="sr-Latn-CS"/>
              </w:rPr>
              <w:t>264.998.335,11</w:t>
            </w:r>
          </w:p>
        </w:tc>
      </w:tr>
      <w:tr w:rsidR="003079BF" w:rsidRPr="00512BE3" w14:paraId="1171B548" w14:textId="77777777" w:rsidTr="003079BF">
        <w:trPr>
          <w:trHeight w:val="233"/>
        </w:trPr>
        <w:tc>
          <w:tcPr>
            <w:cnfStyle w:val="001000000000" w:firstRow="0" w:lastRow="0" w:firstColumn="1" w:lastColumn="0" w:oddVBand="0" w:evenVBand="0" w:oddHBand="0" w:evenHBand="0" w:firstRowFirstColumn="0" w:firstRowLastColumn="0" w:lastRowFirstColumn="0" w:lastRowLastColumn="0"/>
            <w:tcW w:w="2597" w:type="dxa"/>
          </w:tcPr>
          <w:p w14:paraId="693D7EC9" w14:textId="77777777" w:rsidR="003079BF" w:rsidRPr="00512BE3" w:rsidRDefault="003079BF" w:rsidP="003079BF">
            <w:pPr>
              <w:jc w:val="both"/>
              <w:rPr>
                <w:b w:val="0"/>
                <w:sz w:val="22"/>
                <w:szCs w:val="22"/>
                <w:lang w:val="hr-BA" w:eastAsia="sr-Latn-CS"/>
              </w:rPr>
            </w:pPr>
            <w:r w:rsidRPr="00512BE3">
              <w:rPr>
                <w:b w:val="0"/>
                <w:sz w:val="22"/>
                <w:szCs w:val="22"/>
                <w:lang w:val="hr-BA" w:eastAsia="sr-Latn-CS"/>
              </w:rPr>
              <w:t xml:space="preserve">Republika Srpska </w:t>
            </w:r>
          </w:p>
        </w:tc>
        <w:tc>
          <w:tcPr>
            <w:tcW w:w="3208" w:type="dxa"/>
          </w:tcPr>
          <w:p w14:paraId="7735D662" w14:textId="77777777" w:rsidR="003079BF" w:rsidRPr="00512BE3" w:rsidRDefault="003079BF" w:rsidP="003079BF">
            <w:pPr>
              <w:jc w:val="right"/>
              <w:cnfStyle w:val="000000000000" w:firstRow="0" w:lastRow="0" w:firstColumn="0" w:lastColumn="0" w:oddVBand="0" w:evenVBand="0" w:oddHBand="0" w:evenHBand="0" w:firstRowFirstColumn="0" w:firstRowLastColumn="0" w:lastRowFirstColumn="0" w:lastRowLastColumn="0"/>
              <w:rPr>
                <w:sz w:val="22"/>
                <w:szCs w:val="22"/>
                <w:lang w:val="hr-BA" w:eastAsia="sr-Latn-CS"/>
              </w:rPr>
            </w:pPr>
            <w:r w:rsidRPr="00512BE3">
              <w:rPr>
                <w:sz w:val="22"/>
                <w:szCs w:val="22"/>
                <w:lang w:val="hr-BA" w:eastAsia="sr-Latn-CS"/>
              </w:rPr>
              <w:t>112.698.576,91</w:t>
            </w:r>
          </w:p>
        </w:tc>
        <w:tc>
          <w:tcPr>
            <w:tcW w:w="3208" w:type="dxa"/>
          </w:tcPr>
          <w:p w14:paraId="676E66FC" w14:textId="77777777" w:rsidR="003079BF" w:rsidRPr="00512BE3" w:rsidRDefault="003079BF" w:rsidP="003079BF">
            <w:pPr>
              <w:jc w:val="right"/>
              <w:cnfStyle w:val="000000000000" w:firstRow="0" w:lastRow="0" w:firstColumn="0" w:lastColumn="0" w:oddVBand="0" w:evenVBand="0" w:oddHBand="0" w:evenHBand="0" w:firstRowFirstColumn="0" w:firstRowLastColumn="0" w:lastRowFirstColumn="0" w:lastRowLastColumn="0"/>
              <w:rPr>
                <w:sz w:val="22"/>
                <w:szCs w:val="22"/>
                <w:lang w:val="hr-BA" w:eastAsia="sr-Latn-CS"/>
              </w:rPr>
            </w:pPr>
            <w:r w:rsidRPr="00512BE3">
              <w:rPr>
                <w:sz w:val="22"/>
                <w:szCs w:val="22"/>
                <w:lang w:val="hr-BA" w:eastAsia="sr-Latn-CS"/>
              </w:rPr>
              <w:t>91.796.892,17</w:t>
            </w:r>
          </w:p>
        </w:tc>
      </w:tr>
      <w:tr w:rsidR="003079BF" w:rsidRPr="00512BE3" w14:paraId="6AE51C3A" w14:textId="77777777" w:rsidTr="003079B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97" w:type="dxa"/>
          </w:tcPr>
          <w:p w14:paraId="52443591" w14:textId="77777777" w:rsidR="003079BF" w:rsidRPr="00512BE3" w:rsidRDefault="003079BF" w:rsidP="003079BF">
            <w:pPr>
              <w:jc w:val="both"/>
              <w:rPr>
                <w:b w:val="0"/>
                <w:sz w:val="22"/>
                <w:szCs w:val="22"/>
                <w:lang w:val="hr-BA" w:eastAsia="sr-Latn-CS"/>
              </w:rPr>
            </w:pPr>
            <w:r w:rsidRPr="00512BE3">
              <w:rPr>
                <w:b w:val="0"/>
                <w:sz w:val="22"/>
                <w:szCs w:val="22"/>
                <w:lang w:val="hr-BA" w:eastAsia="sr-Latn-CS"/>
              </w:rPr>
              <w:t>Brčko Distrikt BiH</w:t>
            </w:r>
          </w:p>
        </w:tc>
        <w:tc>
          <w:tcPr>
            <w:tcW w:w="3208" w:type="dxa"/>
          </w:tcPr>
          <w:p w14:paraId="1DC7CE2D" w14:textId="77777777" w:rsidR="003079BF" w:rsidRPr="00512BE3" w:rsidRDefault="003079BF" w:rsidP="003079BF">
            <w:pPr>
              <w:jc w:val="right"/>
              <w:cnfStyle w:val="000000100000" w:firstRow="0" w:lastRow="0" w:firstColumn="0" w:lastColumn="0" w:oddVBand="0" w:evenVBand="0" w:oddHBand="1" w:evenHBand="0" w:firstRowFirstColumn="0" w:firstRowLastColumn="0" w:lastRowFirstColumn="0" w:lastRowLastColumn="0"/>
              <w:rPr>
                <w:sz w:val="22"/>
                <w:szCs w:val="22"/>
                <w:lang w:val="hr-BA" w:eastAsia="sr-Latn-CS"/>
              </w:rPr>
            </w:pPr>
            <w:r w:rsidRPr="00512BE3">
              <w:rPr>
                <w:sz w:val="22"/>
                <w:szCs w:val="22"/>
                <w:lang w:val="hr-BA" w:eastAsia="sr-Latn-CS"/>
              </w:rPr>
              <w:t>29.286.195,60</w:t>
            </w:r>
          </w:p>
        </w:tc>
        <w:tc>
          <w:tcPr>
            <w:tcW w:w="3208" w:type="dxa"/>
          </w:tcPr>
          <w:p w14:paraId="153D474D" w14:textId="77777777" w:rsidR="003079BF" w:rsidRPr="00512BE3" w:rsidRDefault="003079BF" w:rsidP="003079BF">
            <w:pPr>
              <w:jc w:val="right"/>
              <w:cnfStyle w:val="000000100000" w:firstRow="0" w:lastRow="0" w:firstColumn="0" w:lastColumn="0" w:oddVBand="0" w:evenVBand="0" w:oddHBand="1" w:evenHBand="0" w:firstRowFirstColumn="0" w:firstRowLastColumn="0" w:lastRowFirstColumn="0" w:lastRowLastColumn="0"/>
              <w:rPr>
                <w:sz w:val="22"/>
                <w:szCs w:val="22"/>
                <w:lang w:val="hr-BA" w:eastAsia="sr-Latn-CS"/>
              </w:rPr>
            </w:pPr>
            <w:r w:rsidRPr="00512BE3">
              <w:rPr>
                <w:sz w:val="22"/>
                <w:szCs w:val="22"/>
                <w:lang w:val="hr-BA" w:eastAsia="sr-Latn-CS"/>
              </w:rPr>
              <w:t>26.946.392,41</w:t>
            </w:r>
          </w:p>
        </w:tc>
      </w:tr>
      <w:tr w:rsidR="003079BF" w:rsidRPr="00512BE3" w14:paraId="4E0446A7" w14:textId="77777777" w:rsidTr="003079BF">
        <w:trPr>
          <w:trHeight w:val="233"/>
        </w:trPr>
        <w:tc>
          <w:tcPr>
            <w:cnfStyle w:val="001000000000" w:firstRow="0" w:lastRow="0" w:firstColumn="1" w:lastColumn="0" w:oddVBand="0" w:evenVBand="0" w:oddHBand="0" w:evenHBand="0" w:firstRowFirstColumn="0" w:firstRowLastColumn="0" w:lastRowFirstColumn="0" w:lastRowLastColumn="0"/>
            <w:tcW w:w="2597" w:type="dxa"/>
          </w:tcPr>
          <w:p w14:paraId="7278D34E" w14:textId="77777777" w:rsidR="003079BF" w:rsidRPr="00512BE3" w:rsidRDefault="003079BF" w:rsidP="003079BF">
            <w:pPr>
              <w:jc w:val="both"/>
              <w:rPr>
                <w:sz w:val="22"/>
                <w:szCs w:val="22"/>
                <w:lang w:val="hr-BA" w:eastAsia="sr-Latn-CS"/>
              </w:rPr>
            </w:pPr>
            <w:r w:rsidRPr="00512BE3">
              <w:rPr>
                <w:sz w:val="22"/>
                <w:szCs w:val="22"/>
                <w:lang w:val="hr-BA" w:eastAsia="sr-Latn-CS"/>
              </w:rPr>
              <w:t xml:space="preserve">Ukupno </w:t>
            </w:r>
          </w:p>
        </w:tc>
        <w:tc>
          <w:tcPr>
            <w:tcW w:w="3208" w:type="dxa"/>
          </w:tcPr>
          <w:p w14:paraId="204F4974" w14:textId="77777777" w:rsidR="003079BF" w:rsidRPr="00512BE3" w:rsidRDefault="003079BF" w:rsidP="003079BF">
            <w:pPr>
              <w:jc w:val="right"/>
              <w:cnfStyle w:val="000000000000" w:firstRow="0" w:lastRow="0" w:firstColumn="0" w:lastColumn="0" w:oddVBand="0" w:evenVBand="0" w:oddHBand="0" w:evenHBand="0" w:firstRowFirstColumn="0" w:firstRowLastColumn="0" w:lastRowFirstColumn="0" w:lastRowLastColumn="0"/>
              <w:rPr>
                <w:b/>
                <w:sz w:val="22"/>
                <w:szCs w:val="22"/>
                <w:lang w:eastAsia="sr-Latn-CS"/>
              </w:rPr>
            </w:pPr>
            <w:r w:rsidRPr="00512BE3">
              <w:rPr>
                <w:b/>
                <w:sz w:val="22"/>
                <w:szCs w:val="22"/>
                <w:lang w:eastAsia="sr-Latn-CS"/>
              </w:rPr>
              <w:t>426.663.993,29</w:t>
            </w:r>
          </w:p>
        </w:tc>
        <w:tc>
          <w:tcPr>
            <w:tcW w:w="3208" w:type="dxa"/>
          </w:tcPr>
          <w:p w14:paraId="1CC1B332" w14:textId="77777777" w:rsidR="003079BF" w:rsidRPr="00512BE3" w:rsidRDefault="003079BF" w:rsidP="003079BF">
            <w:pPr>
              <w:jc w:val="right"/>
              <w:cnfStyle w:val="000000000000" w:firstRow="0" w:lastRow="0" w:firstColumn="0" w:lastColumn="0" w:oddVBand="0" w:evenVBand="0" w:oddHBand="0" w:evenHBand="0" w:firstRowFirstColumn="0" w:firstRowLastColumn="0" w:lastRowFirstColumn="0" w:lastRowLastColumn="0"/>
              <w:rPr>
                <w:b/>
                <w:sz w:val="22"/>
                <w:szCs w:val="22"/>
                <w:lang w:eastAsia="sr-Latn-CS"/>
              </w:rPr>
            </w:pPr>
            <w:r w:rsidRPr="00512BE3">
              <w:rPr>
                <w:b/>
                <w:sz w:val="22"/>
                <w:szCs w:val="22"/>
                <w:lang w:eastAsia="sr-Latn-CS"/>
              </w:rPr>
              <w:t>383.741.619,79</w:t>
            </w:r>
          </w:p>
        </w:tc>
      </w:tr>
    </w:tbl>
    <w:p w14:paraId="15174512" w14:textId="77777777" w:rsidR="00FD76F3" w:rsidRPr="00512BE3" w:rsidRDefault="00FD76F3" w:rsidP="008C5308">
      <w:pPr>
        <w:jc w:val="both"/>
        <w:rPr>
          <w:sz w:val="22"/>
          <w:szCs w:val="22"/>
          <w:lang w:val="hr-BA"/>
        </w:rPr>
      </w:pPr>
    </w:p>
    <w:p w14:paraId="228DDA98" w14:textId="2D228638" w:rsidR="009D7CA8" w:rsidRPr="00512BE3" w:rsidRDefault="001C560E" w:rsidP="0095417A">
      <w:pPr>
        <w:ind w:firstLine="709"/>
        <w:jc w:val="both"/>
        <w:rPr>
          <w:sz w:val="22"/>
          <w:szCs w:val="22"/>
          <w:lang w:val="hr-BA"/>
        </w:rPr>
      </w:pPr>
      <w:r w:rsidRPr="00512BE3">
        <w:rPr>
          <w:sz w:val="22"/>
          <w:szCs w:val="22"/>
          <w:lang w:val="hr-BA"/>
        </w:rPr>
        <w:t>U izvještajnom periodu, organizacion</w:t>
      </w:r>
      <w:r w:rsidR="00050B48">
        <w:rPr>
          <w:sz w:val="22"/>
          <w:szCs w:val="22"/>
          <w:lang w:val="hr-BA"/>
        </w:rPr>
        <w:t>e</w:t>
      </w:r>
      <w:r w:rsidRPr="00512BE3">
        <w:rPr>
          <w:sz w:val="22"/>
          <w:szCs w:val="22"/>
          <w:lang w:val="hr-BA"/>
        </w:rPr>
        <w:t xml:space="preserve"> jedinic</w:t>
      </w:r>
      <w:r w:rsidR="00050B48">
        <w:rPr>
          <w:sz w:val="22"/>
          <w:szCs w:val="22"/>
          <w:lang w:val="hr-BA"/>
        </w:rPr>
        <w:t>e za prinudnu naplatu izdale su</w:t>
      </w:r>
      <w:r w:rsidRPr="00512BE3">
        <w:rPr>
          <w:sz w:val="22"/>
          <w:szCs w:val="22"/>
          <w:lang w:val="hr-BA"/>
        </w:rPr>
        <w:t xml:space="preserve"> ukupno 42.023 naloga za prinudnu naplatu po osnovu neplaćenih indirektnih poreza, ostalih prihoda i taksi. U radu se nalazi preko 20.000 predmeta.</w:t>
      </w:r>
      <w:r w:rsidR="0095417A" w:rsidRPr="00512BE3">
        <w:rPr>
          <w:sz w:val="22"/>
          <w:szCs w:val="22"/>
          <w:lang w:val="hr-BA"/>
        </w:rPr>
        <w:t xml:space="preserve"> </w:t>
      </w:r>
      <w:r w:rsidRPr="00512BE3">
        <w:rPr>
          <w:sz w:val="22"/>
          <w:szCs w:val="22"/>
          <w:lang w:val="hr-BA"/>
        </w:rPr>
        <w:t xml:space="preserve">U toku 2022. godine, u postupku prinudne naplate PDV-a i akcize, </w:t>
      </w:r>
      <w:r w:rsidRPr="00512BE3">
        <w:rPr>
          <w:sz w:val="22"/>
          <w:szCs w:val="22"/>
          <w:lang w:val="hr-BA"/>
        </w:rPr>
        <w:lastRenderedPageBreak/>
        <w:t>naplaćeno je ukupno 202.943.445,43 KM dok je u istom periodu 2021. godi</w:t>
      </w:r>
      <w:r w:rsidR="0095417A" w:rsidRPr="00512BE3">
        <w:rPr>
          <w:sz w:val="22"/>
          <w:szCs w:val="22"/>
          <w:lang w:val="hr-BA"/>
        </w:rPr>
        <w:t>ne naplaćeno 226.171.353,78 KM.</w:t>
      </w:r>
    </w:p>
    <w:p w14:paraId="3DA3ECE3" w14:textId="160AB15B" w:rsidR="008B1C79" w:rsidRPr="00512BE3" w:rsidRDefault="001A7C99" w:rsidP="007B6CB6">
      <w:pPr>
        <w:ind w:firstLine="709"/>
        <w:jc w:val="both"/>
        <w:rPr>
          <w:sz w:val="22"/>
          <w:szCs w:val="22"/>
        </w:rPr>
      </w:pPr>
      <w:r w:rsidRPr="00512BE3">
        <w:rPr>
          <w:sz w:val="22"/>
          <w:szCs w:val="22"/>
        </w:rPr>
        <w:t xml:space="preserve">U pokrenutim postupcima prinudne naplate indirektnih poreza i ostalih prihoda, grupe za prinudnu naplatu vrše pljenidbu imovine shodno principu srazmjernosti u namirenju duga prema odredbi člana 13. Zakona o postupku prinudne naplate indirektnih poreza. </w:t>
      </w:r>
      <w:r w:rsidR="008C5308" w:rsidRPr="00512BE3">
        <w:rPr>
          <w:sz w:val="22"/>
          <w:szCs w:val="22"/>
        </w:rPr>
        <w:t xml:space="preserve">U svrhu </w:t>
      </w:r>
      <w:r w:rsidRPr="00512BE3">
        <w:rPr>
          <w:sz w:val="22"/>
          <w:szCs w:val="22"/>
        </w:rPr>
        <w:t xml:space="preserve">sagledavanja </w:t>
      </w:r>
      <w:r w:rsidR="008C5308" w:rsidRPr="00512BE3">
        <w:rPr>
          <w:sz w:val="22"/>
          <w:szCs w:val="22"/>
        </w:rPr>
        <w:t>efekat</w:t>
      </w:r>
      <w:r w:rsidR="009D7CA8" w:rsidRPr="00512BE3">
        <w:rPr>
          <w:sz w:val="22"/>
          <w:szCs w:val="22"/>
        </w:rPr>
        <w:t>a</w:t>
      </w:r>
      <w:r w:rsidR="008C5308" w:rsidRPr="00512BE3">
        <w:rPr>
          <w:sz w:val="22"/>
          <w:szCs w:val="22"/>
        </w:rPr>
        <w:t xml:space="preserve"> naplate duga po osnovu pljenidbe</w:t>
      </w:r>
      <w:r w:rsidR="006D0E8D" w:rsidRPr="00512BE3">
        <w:rPr>
          <w:sz w:val="22"/>
          <w:szCs w:val="22"/>
        </w:rPr>
        <w:t xml:space="preserve"> iskazana je naplata po vrsti pljenidbe </w:t>
      </w:r>
      <w:r w:rsidR="008C5308" w:rsidRPr="00512BE3">
        <w:rPr>
          <w:sz w:val="22"/>
          <w:szCs w:val="22"/>
        </w:rPr>
        <w:t>(Tabela 4.).</w:t>
      </w:r>
      <w:r w:rsidR="007B6CB6" w:rsidRPr="00512BE3">
        <w:rPr>
          <w:sz w:val="22"/>
          <w:szCs w:val="22"/>
        </w:rPr>
        <w:t xml:space="preserve"> </w:t>
      </w:r>
    </w:p>
    <w:p w14:paraId="54C39342" w14:textId="77777777" w:rsidR="001A7C99" w:rsidRPr="00512BE3" w:rsidRDefault="008B1C79" w:rsidP="008B1C79">
      <w:pPr>
        <w:jc w:val="both"/>
        <w:rPr>
          <w:b/>
          <w:i/>
          <w:sz w:val="22"/>
          <w:szCs w:val="22"/>
        </w:rPr>
      </w:pPr>
      <w:r w:rsidRPr="00512BE3">
        <w:rPr>
          <w:b/>
          <w:i/>
          <w:sz w:val="22"/>
          <w:szCs w:val="22"/>
        </w:rPr>
        <w:t>Tabela 4</w:t>
      </w:r>
      <w:r w:rsidR="001A7C99" w:rsidRPr="00512BE3">
        <w:rPr>
          <w:b/>
          <w:i/>
          <w:sz w:val="22"/>
          <w:szCs w:val="22"/>
        </w:rPr>
        <w:t>: Rezultati pljeni</w:t>
      </w:r>
      <w:r w:rsidR="001C560E" w:rsidRPr="00512BE3">
        <w:rPr>
          <w:b/>
          <w:i/>
          <w:sz w:val="22"/>
          <w:szCs w:val="22"/>
        </w:rPr>
        <w:t>dbe za period 01.01 – 31.12.2022</w:t>
      </w:r>
      <w:r w:rsidR="001A7C99" w:rsidRPr="00512BE3">
        <w:rPr>
          <w:b/>
          <w:i/>
          <w:sz w:val="22"/>
          <w:szCs w:val="22"/>
        </w:rPr>
        <w:t>.</w:t>
      </w:r>
    </w:p>
    <w:tbl>
      <w:tblPr>
        <w:tblW w:w="90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3923"/>
        <w:gridCol w:w="750"/>
        <w:gridCol w:w="1660"/>
        <w:gridCol w:w="750"/>
        <w:gridCol w:w="1952"/>
      </w:tblGrid>
      <w:tr w:rsidR="001C560E" w:rsidRPr="00512BE3" w14:paraId="6ED0BC23" w14:textId="77777777" w:rsidTr="001C560E">
        <w:trPr>
          <w:trHeight w:val="253"/>
        </w:trPr>
        <w:tc>
          <w:tcPr>
            <w:tcW w:w="3964" w:type="dxa"/>
            <w:vMerge w:val="restart"/>
            <w:shd w:val="clear" w:color="auto" w:fill="DEEAF6"/>
            <w:vAlign w:val="center"/>
          </w:tcPr>
          <w:p w14:paraId="6DF54029" w14:textId="77777777" w:rsidR="001C560E" w:rsidRPr="00512BE3" w:rsidRDefault="001C560E" w:rsidP="001C560E">
            <w:pPr>
              <w:jc w:val="both"/>
              <w:rPr>
                <w:b/>
                <w:bCs/>
                <w:sz w:val="20"/>
                <w:szCs w:val="20"/>
                <w:lang w:val="bs-Latn-BA" w:eastAsia="sr-Latn-CS"/>
              </w:rPr>
            </w:pPr>
            <w:r w:rsidRPr="00512BE3">
              <w:rPr>
                <w:b/>
                <w:bCs/>
                <w:sz w:val="20"/>
                <w:szCs w:val="20"/>
                <w:lang w:val="bs-Latn-BA" w:eastAsia="sr-Latn-CS"/>
              </w:rPr>
              <w:t xml:space="preserve">                                                                       Vrsta pljenidbe</w:t>
            </w:r>
          </w:p>
        </w:tc>
        <w:tc>
          <w:tcPr>
            <w:tcW w:w="5071" w:type="dxa"/>
            <w:gridSpan w:val="4"/>
            <w:shd w:val="clear" w:color="auto" w:fill="DEEAF6"/>
            <w:noWrap/>
            <w:vAlign w:val="center"/>
          </w:tcPr>
          <w:p w14:paraId="74AB6864"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Ukupno po mjerama prinudne naplate na nivou UIO</w:t>
            </w:r>
          </w:p>
        </w:tc>
      </w:tr>
      <w:tr w:rsidR="001C560E" w:rsidRPr="00512BE3" w14:paraId="380BFA7F" w14:textId="77777777" w:rsidTr="001C560E">
        <w:trPr>
          <w:trHeight w:val="253"/>
        </w:trPr>
        <w:tc>
          <w:tcPr>
            <w:tcW w:w="3964" w:type="dxa"/>
            <w:vMerge/>
            <w:shd w:val="clear" w:color="auto" w:fill="auto"/>
            <w:vAlign w:val="center"/>
          </w:tcPr>
          <w:p w14:paraId="58CE75A3" w14:textId="77777777" w:rsidR="001C560E" w:rsidRPr="00512BE3" w:rsidRDefault="001C560E" w:rsidP="001C560E">
            <w:pPr>
              <w:jc w:val="both"/>
              <w:rPr>
                <w:b/>
                <w:bCs/>
                <w:sz w:val="20"/>
                <w:szCs w:val="20"/>
                <w:lang w:val="bs-Latn-BA" w:eastAsia="sr-Latn-CS"/>
              </w:rPr>
            </w:pPr>
          </w:p>
        </w:tc>
        <w:tc>
          <w:tcPr>
            <w:tcW w:w="2369" w:type="dxa"/>
            <w:gridSpan w:val="2"/>
            <w:shd w:val="clear" w:color="auto" w:fill="DEEAF6"/>
            <w:noWrap/>
            <w:vAlign w:val="center"/>
          </w:tcPr>
          <w:p w14:paraId="0383CFDA" w14:textId="77777777" w:rsidR="001C560E" w:rsidRPr="00512BE3" w:rsidRDefault="001C560E" w:rsidP="001C560E">
            <w:pPr>
              <w:jc w:val="center"/>
              <w:rPr>
                <w:b/>
                <w:sz w:val="20"/>
                <w:szCs w:val="20"/>
                <w:lang w:val="bs-Latn-BA" w:eastAsia="sr-Latn-CS"/>
              </w:rPr>
            </w:pPr>
            <w:r w:rsidRPr="00512BE3">
              <w:rPr>
                <w:b/>
                <w:sz w:val="20"/>
                <w:szCs w:val="20"/>
                <w:lang w:val="bs-Latn-BA" w:eastAsia="sr-Latn-CS"/>
              </w:rPr>
              <w:t>2022.</w:t>
            </w:r>
          </w:p>
        </w:tc>
        <w:tc>
          <w:tcPr>
            <w:tcW w:w="2702" w:type="dxa"/>
            <w:gridSpan w:val="2"/>
            <w:shd w:val="clear" w:color="auto" w:fill="auto"/>
            <w:noWrap/>
            <w:vAlign w:val="center"/>
          </w:tcPr>
          <w:p w14:paraId="72C9854E"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2021.</w:t>
            </w:r>
          </w:p>
        </w:tc>
      </w:tr>
      <w:tr w:rsidR="001C560E" w:rsidRPr="00512BE3" w14:paraId="41B9031C" w14:textId="77777777" w:rsidTr="001C560E">
        <w:trPr>
          <w:trHeight w:val="253"/>
        </w:trPr>
        <w:tc>
          <w:tcPr>
            <w:tcW w:w="3964" w:type="dxa"/>
            <w:vMerge/>
            <w:shd w:val="clear" w:color="auto" w:fill="DEEAF6"/>
            <w:vAlign w:val="center"/>
          </w:tcPr>
          <w:p w14:paraId="3E95A909" w14:textId="77777777" w:rsidR="001C560E" w:rsidRPr="00512BE3" w:rsidRDefault="001C560E" w:rsidP="001C560E">
            <w:pPr>
              <w:jc w:val="both"/>
              <w:rPr>
                <w:b/>
                <w:bCs/>
                <w:sz w:val="20"/>
                <w:szCs w:val="20"/>
                <w:lang w:val="bs-Latn-BA" w:eastAsia="sr-Latn-CS"/>
              </w:rPr>
            </w:pPr>
          </w:p>
        </w:tc>
        <w:tc>
          <w:tcPr>
            <w:tcW w:w="709" w:type="dxa"/>
            <w:shd w:val="clear" w:color="auto" w:fill="DEEAF6"/>
            <w:noWrap/>
            <w:vAlign w:val="center"/>
          </w:tcPr>
          <w:p w14:paraId="0E82A261"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Broj radnji</w:t>
            </w:r>
          </w:p>
        </w:tc>
        <w:tc>
          <w:tcPr>
            <w:tcW w:w="1660" w:type="dxa"/>
            <w:shd w:val="clear" w:color="auto" w:fill="DEEAF6"/>
            <w:noWrap/>
            <w:vAlign w:val="center"/>
          </w:tcPr>
          <w:p w14:paraId="449C0A20"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Naplaćeno</w:t>
            </w:r>
          </w:p>
        </w:tc>
        <w:tc>
          <w:tcPr>
            <w:tcW w:w="750" w:type="dxa"/>
            <w:shd w:val="clear" w:color="auto" w:fill="DEEAF6"/>
            <w:noWrap/>
            <w:vAlign w:val="center"/>
          </w:tcPr>
          <w:p w14:paraId="313D51E1"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Broj radnji</w:t>
            </w:r>
          </w:p>
        </w:tc>
        <w:tc>
          <w:tcPr>
            <w:tcW w:w="1952" w:type="dxa"/>
            <w:shd w:val="clear" w:color="auto" w:fill="DEEAF6"/>
            <w:noWrap/>
            <w:vAlign w:val="center"/>
          </w:tcPr>
          <w:p w14:paraId="187AFFEE"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Naplaćeno</w:t>
            </w:r>
          </w:p>
        </w:tc>
      </w:tr>
      <w:tr w:rsidR="001C560E" w:rsidRPr="00512BE3" w14:paraId="1C498492" w14:textId="77777777" w:rsidTr="001C560E">
        <w:trPr>
          <w:trHeight w:val="270"/>
        </w:trPr>
        <w:tc>
          <w:tcPr>
            <w:tcW w:w="3964" w:type="dxa"/>
            <w:shd w:val="clear" w:color="auto" w:fill="auto"/>
            <w:vAlign w:val="center"/>
          </w:tcPr>
          <w:p w14:paraId="71B9251B" w14:textId="77777777" w:rsidR="001C560E" w:rsidRPr="00512BE3" w:rsidRDefault="001C560E" w:rsidP="001C560E">
            <w:pPr>
              <w:jc w:val="both"/>
              <w:rPr>
                <w:sz w:val="20"/>
                <w:szCs w:val="20"/>
                <w:lang w:eastAsia="sr-Latn-CS"/>
              </w:rPr>
            </w:pPr>
            <w:r w:rsidRPr="00512BE3">
              <w:rPr>
                <w:sz w:val="20"/>
                <w:szCs w:val="20"/>
                <w:lang w:eastAsia="sr-Latn-CS"/>
              </w:rPr>
              <w:t>Pljenidba gotovine</w:t>
            </w:r>
          </w:p>
        </w:tc>
        <w:tc>
          <w:tcPr>
            <w:tcW w:w="709" w:type="dxa"/>
            <w:shd w:val="clear" w:color="auto" w:fill="DEEAF6"/>
            <w:noWrap/>
            <w:vAlign w:val="center"/>
          </w:tcPr>
          <w:p w14:paraId="66D17823" w14:textId="77777777" w:rsidR="001C560E" w:rsidRPr="00512BE3" w:rsidRDefault="001C560E" w:rsidP="001C560E">
            <w:pPr>
              <w:jc w:val="center"/>
              <w:rPr>
                <w:sz w:val="20"/>
                <w:szCs w:val="20"/>
                <w:lang w:eastAsia="sr-Latn-CS"/>
              </w:rPr>
            </w:pPr>
            <w:r w:rsidRPr="00512BE3">
              <w:rPr>
                <w:sz w:val="20"/>
                <w:szCs w:val="20"/>
                <w:lang w:eastAsia="sr-Latn-CS"/>
              </w:rPr>
              <w:t>3.692</w:t>
            </w:r>
          </w:p>
        </w:tc>
        <w:tc>
          <w:tcPr>
            <w:tcW w:w="1660" w:type="dxa"/>
            <w:shd w:val="clear" w:color="auto" w:fill="auto"/>
            <w:noWrap/>
            <w:vAlign w:val="center"/>
          </w:tcPr>
          <w:p w14:paraId="0CFAD652" w14:textId="77777777" w:rsidR="001C560E" w:rsidRPr="00512BE3" w:rsidRDefault="001C560E" w:rsidP="001C560E">
            <w:pPr>
              <w:jc w:val="right"/>
              <w:rPr>
                <w:sz w:val="20"/>
                <w:szCs w:val="20"/>
                <w:lang w:eastAsia="sr-Latn-CS"/>
              </w:rPr>
            </w:pPr>
            <w:r w:rsidRPr="00512BE3">
              <w:rPr>
                <w:sz w:val="20"/>
                <w:szCs w:val="20"/>
                <w:lang w:eastAsia="sr-Latn-CS"/>
              </w:rPr>
              <w:t>2.433.115,40</w:t>
            </w:r>
          </w:p>
        </w:tc>
        <w:tc>
          <w:tcPr>
            <w:tcW w:w="750" w:type="dxa"/>
            <w:shd w:val="clear" w:color="auto" w:fill="DEEAF6"/>
            <w:noWrap/>
            <w:vAlign w:val="center"/>
          </w:tcPr>
          <w:p w14:paraId="0DFCC815" w14:textId="77777777" w:rsidR="001C560E" w:rsidRPr="00512BE3" w:rsidRDefault="001C560E" w:rsidP="001C560E">
            <w:pPr>
              <w:jc w:val="center"/>
              <w:rPr>
                <w:sz w:val="20"/>
                <w:szCs w:val="20"/>
                <w:lang w:eastAsia="sr-Latn-CS"/>
              </w:rPr>
            </w:pPr>
            <w:r w:rsidRPr="00512BE3">
              <w:rPr>
                <w:sz w:val="20"/>
                <w:szCs w:val="20"/>
                <w:lang w:eastAsia="sr-Latn-CS"/>
              </w:rPr>
              <w:t>1345</w:t>
            </w:r>
          </w:p>
        </w:tc>
        <w:tc>
          <w:tcPr>
            <w:tcW w:w="1952" w:type="dxa"/>
            <w:shd w:val="clear" w:color="auto" w:fill="auto"/>
            <w:noWrap/>
            <w:vAlign w:val="center"/>
          </w:tcPr>
          <w:p w14:paraId="35947B43" w14:textId="77777777" w:rsidR="001C560E" w:rsidRPr="00512BE3" w:rsidRDefault="001C560E" w:rsidP="001C560E">
            <w:pPr>
              <w:jc w:val="right"/>
              <w:rPr>
                <w:sz w:val="20"/>
                <w:szCs w:val="20"/>
                <w:lang w:eastAsia="sr-Latn-CS"/>
              </w:rPr>
            </w:pPr>
            <w:r w:rsidRPr="00512BE3">
              <w:rPr>
                <w:sz w:val="20"/>
                <w:szCs w:val="20"/>
                <w:lang w:eastAsia="sr-Latn-CS"/>
              </w:rPr>
              <w:t>1.017.404,51</w:t>
            </w:r>
          </w:p>
        </w:tc>
      </w:tr>
      <w:tr w:rsidR="001C560E" w:rsidRPr="00512BE3" w14:paraId="14AF699F" w14:textId="77777777" w:rsidTr="001C560E">
        <w:trPr>
          <w:trHeight w:val="507"/>
        </w:trPr>
        <w:tc>
          <w:tcPr>
            <w:tcW w:w="3964" w:type="dxa"/>
            <w:shd w:val="clear" w:color="auto" w:fill="DEEAF6"/>
            <w:vAlign w:val="center"/>
          </w:tcPr>
          <w:p w14:paraId="4B6F969A" w14:textId="77777777" w:rsidR="001C560E" w:rsidRPr="00512BE3" w:rsidRDefault="001C560E" w:rsidP="001C560E">
            <w:pPr>
              <w:jc w:val="both"/>
              <w:rPr>
                <w:sz w:val="20"/>
                <w:szCs w:val="20"/>
                <w:lang w:val="bs-Latn-BA" w:eastAsia="sr-Latn-CS"/>
              </w:rPr>
            </w:pPr>
            <w:r w:rsidRPr="00512BE3">
              <w:rPr>
                <w:sz w:val="20"/>
                <w:szCs w:val="20"/>
                <w:lang w:val="bs-Latn-BA" w:eastAsia="sr-Latn-CS"/>
              </w:rPr>
              <w:t>Pljenidba novčanih sredstava u banci</w:t>
            </w:r>
          </w:p>
        </w:tc>
        <w:tc>
          <w:tcPr>
            <w:tcW w:w="709" w:type="dxa"/>
            <w:shd w:val="clear" w:color="auto" w:fill="DEEAF6"/>
            <w:noWrap/>
            <w:vAlign w:val="center"/>
          </w:tcPr>
          <w:p w14:paraId="12F16951"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5.622</w:t>
            </w:r>
          </w:p>
        </w:tc>
        <w:tc>
          <w:tcPr>
            <w:tcW w:w="1660" w:type="dxa"/>
            <w:shd w:val="clear" w:color="auto" w:fill="DEEAF6"/>
            <w:noWrap/>
            <w:vAlign w:val="center"/>
          </w:tcPr>
          <w:p w14:paraId="5261F3F5"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14.014.687,49</w:t>
            </w:r>
          </w:p>
        </w:tc>
        <w:tc>
          <w:tcPr>
            <w:tcW w:w="750" w:type="dxa"/>
            <w:shd w:val="clear" w:color="auto" w:fill="DEEAF6"/>
            <w:noWrap/>
            <w:vAlign w:val="center"/>
          </w:tcPr>
          <w:p w14:paraId="12D8EC4D"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6089</w:t>
            </w:r>
          </w:p>
        </w:tc>
        <w:tc>
          <w:tcPr>
            <w:tcW w:w="1952" w:type="dxa"/>
            <w:shd w:val="clear" w:color="auto" w:fill="DEEAF6"/>
            <w:noWrap/>
            <w:vAlign w:val="center"/>
          </w:tcPr>
          <w:p w14:paraId="26EE07D6"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9.213.641,94</w:t>
            </w:r>
          </w:p>
        </w:tc>
      </w:tr>
      <w:tr w:rsidR="001C560E" w:rsidRPr="00512BE3" w14:paraId="59F83BF7" w14:textId="77777777" w:rsidTr="001C560E">
        <w:trPr>
          <w:trHeight w:val="253"/>
        </w:trPr>
        <w:tc>
          <w:tcPr>
            <w:tcW w:w="3964" w:type="dxa"/>
            <w:shd w:val="clear" w:color="auto" w:fill="auto"/>
            <w:vAlign w:val="center"/>
          </w:tcPr>
          <w:p w14:paraId="2873BA2D" w14:textId="77777777" w:rsidR="001C560E" w:rsidRPr="00512BE3" w:rsidRDefault="001C560E" w:rsidP="001C560E">
            <w:pPr>
              <w:jc w:val="both"/>
              <w:rPr>
                <w:sz w:val="20"/>
                <w:szCs w:val="20"/>
                <w:lang w:val="bs-Latn-BA" w:eastAsia="sr-Latn-CS"/>
              </w:rPr>
            </w:pPr>
            <w:r w:rsidRPr="00512BE3">
              <w:rPr>
                <w:bCs/>
                <w:sz w:val="20"/>
                <w:szCs w:val="20"/>
                <w:lang w:val="hr-BA" w:eastAsia="sr-Latn-CS"/>
              </w:rPr>
              <w:t>Prenos sredstava sa blokiranih računa kod banka ili dr. finansijskih institucija</w:t>
            </w:r>
          </w:p>
        </w:tc>
        <w:tc>
          <w:tcPr>
            <w:tcW w:w="709" w:type="dxa"/>
            <w:shd w:val="clear" w:color="auto" w:fill="DEEAF6"/>
            <w:noWrap/>
            <w:vAlign w:val="center"/>
          </w:tcPr>
          <w:p w14:paraId="7ABA19C6"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3.257</w:t>
            </w:r>
          </w:p>
        </w:tc>
        <w:tc>
          <w:tcPr>
            <w:tcW w:w="1660" w:type="dxa"/>
            <w:shd w:val="clear" w:color="auto" w:fill="auto"/>
            <w:noWrap/>
            <w:vAlign w:val="center"/>
          </w:tcPr>
          <w:p w14:paraId="507BC16E"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11.610.131,89</w:t>
            </w:r>
          </w:p>
        </w:tc>
        <w:tc>
          <w:tcPr>
            <w:tcW w:w="750" w:type="dxa"/>
            <w:shd w:val="clear" w:color="auto" w:fill="DEEAF6"/>
            <w:noWrap/>
            <w:vAlign w:val="center"/>
          </w:tcPr>
          <w:p w14:paraId="36B88695"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3345</w:t>
            </w:r>
          </w:p>
        </w:tc>
        <w:tc>
          <w:tcPr>
            <w:tcW w:w="1952" w:type="dxa"/>
            <w:shd w:val="clear" w:color="auto" w:fill="auto"/>
            <w:noWrap/>
            <w:vAlign w:val="center"/>
          </w:tcPr>
          <w:p w14:paraId="600FD200"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13.652.758,18</w:t>
            </w:r>
          </w:p>
        </w:tc>
      </w:tr>
      <w:tr w:rsidR="001C560E" w:rsidRPr="00512BE3" w14:paraId="54F9E9FA" w14:textId="77777777" w:rsidTr="001C560E">
        <w:trPr>
          <w:trHeight w:val="253"/>
        </w:trPr>
        <w:tc>
          <w:tcPr>
            <w:tcW w:w="3964" w:type="dxa"/>
            <w:shd w:val="clear" w:color="auto" w:fill="DEEAF6"/>
            <w:vAlign w:val="center"/>
          </w:tcPr>
          <w:p w14:paraId="23215723" w14:textId="77777777" w:rsidR="001C560E" w:rsidRPr="00512BE3" w:rsidRDefault="001C560E" w:rsidP="001C560E">
            <w:pPr>
              <w:jc w:val="both"/>
              <w:rPr>
                <w:sz w:val="20"/>
                <w:szCs w:val="20"/>
                <w:lang w:val="bs-Latn-BA" w:eastAsia="sr-Latn-CS"/>
              </w:rPr>
            </w:pPr>
            <w:r w:rsidRPr="00512BE3">
              <w:rPr>
                <w:bCs/>
                <w:sz w:val="20"/>
                <w:szCs w:val="20"/>
                <w:lang w:val="hr-BA" w:eastAsia="sr-Latn-CS"/>
              </w:rPr>
              <w:t>Pljenidba dužnikovih nenaplaćenih potraživanja i prava dužnika</w:t>
            </w:r>
          </w:p>
        </w:tc>
        <w:tc>
          <w:tcPr>
            <w:tcW w:w="709" w:type="dxa"/>
            <w:shd w:val="clear" w:color="auto" w:fill="DEEAF6"/>
            <w:noWrap/>
            <w:vAlign w:val="center"/>
          </w:tcPr>
          <w:p w14:paraId="51189C7A"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253</w:t>
            </w:r>
          </w:p>
        </w:tc>
        <w:tc>
          <w:tcPr>
            <w:tcW w:w="1660" w:type="dxa"/>
            <w:shd w:val="clear" w:color="auto" w:fill="DEEAF6"/>
            <w:noWrap/>
            <w:vAlign w:val="center"/>
          </w:tcPr>
          <w:p w14:paraId="3837C817"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1.030.384,44</w:t>
            </w:r>
          </w:p>
        </w:tc>
        <w:tc>
          <w:tcPr>
            <w:tcW w:w="750" w:type="dxa"/>
            <w:shd w:val="clear" w:color="auto" w:fill="DEEAF6"/>
            <w:noWrap/>
            <w:vAlign w:val="center"/>
          </w:tcPr>
          <w:p w14:paraId="4F03F70B"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180</w:t>
            </w:r>
          </w:p>
        </w:tc>
        <w:tc>
          <w:tcPr>
            <w:tcW w:w="1952" w:type="dxa"/>
            <w:shd w:val="clear" w:color="auto" w:fill="DEEAF6"/>
            <w:noWrap/>
            <w:vAlign w:val="center"/>
          </w:tcPr>
          <w:p w14:paraId="66292EEB"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540.525,31</w:t>
            </w:r>
          </w:p>
        </w:tc>
      </w:tr>
      <w:tr w:rsidR="001C560E" w:rsidRPr="00512BE3" w14:paraId="06BDA431" w14:textId="77777777" w:rsidTr="001C560E">
        <w:trPr>
          <w:trHeight w:val="253"/>
        </w:trPr>
        <w:tc>
          <w:tcPr>
            <w:tcW w:w="3964" w:type="dxa"/>
            <w:shd w:val="clear" w:color="auto" w:fill="auto"/>
            <w:vAlign w:val="center"/>
          </w:tcPr>
          <w:p w14:paraId="1291F849" w14:textId="77777777" w:rsidR="001C560E" w:rsidRPr="00512BE3" w:rsidRDefault="001C560E" w:rsidP="001C560E">
            <w:pPr>
              <w:jc w:val="both"/>
              <w:rPr>
                <w:sz w:val="20"/>
                <w:szCs w:val="20"/>
                <w:lang w:val="bs-Latn-BA" w:eastAsia="sr-Latn-CS"/>
              </w:rPr>
            </w:pPr>
            <w:r w:rsidRPr="00512BE3">
              <w:rPr>
                <w:bCs/>
                <w:sz w:val="20"/>
                <w:szCs w:val="20"/>
                <w:lang w:val="hr-BA" w:eastAsia="sr-Latn-CS"/>
              </w:rPr>
              <w:t>Pljenidba plata, naknada, zarada i penzija</w:t>
            </w:r>
          </w:p>
        </w:tc>
        <w:tc>
          <w:tcPr>
            <w:tcW w:w="709" w:type="dxa"/>
            <w:shd w:val="clear" w:color="auto" w:fill="DEEAF6"/>
            <w:noWrap/>
            <w:vAlign w:val="center"/>
          </w:tcPr>
          <w:p w14:paraId="04EEC18B"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380</w:t>
            </w:r>
          </w:p>
        </w:tc>
        <w:tc>
          <w:tcPr>
            <w:tcW w:w="1660" w:type="dxa"/>
            <w:shd w:val="clear" w:color="auto" w:fill="auto"/>
            <w:noWrap/>
            <w:vAlign w:val="center"/>
          </w:tcPr>
          <w:p w14:paraId="5683ADBD"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88.787,43</w:t>
            </w:r>
          </w:p>
        </w:tc>
        <w:tc>
          <w:tcPr>
            <w:tcW w:w="750" w:type="dxa"/>
            <w:shd w:val="clear" w:color="auto" w:fill="DEEAF6"/>
            <w:noWrap/>
            <w:vAlign w:val="center"/>
          </w:tcPr>
          <w:p w14:paraId="14AD0700"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374</w:t>
            </w:r>
          </w:p>
        </w:tc>
        <w:tc>
          <w:tcPr>
            <w:tcW w:w="1952" w:type="dxa"/>
            <w:shd w:val="clear" w:color="auto" w:fill="auto"/>
            <w:noWrap/>
            <w:vAlign w:val="center"/>
          </w:tcPr>
          <w:p w14:paraId="4CF24E96"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70.901,75</w:t>
            </w:r>
          </w:p>
        </w:tc>
      </w:tr>
      <w:tr w:rsidR="001C560E" w:rsidRPr="00512BE3" w14:paraId="3C440DC1" w14:textId="77777777" w:rsidTr="001C560E">
        <w:trPr>
          <w:trHeight w:val="253"/>
        </w:trPr>
        <w:tc>
          <w:tcPr>
            <w:tcW w:w="3964" w:type="dxa"/>
            <w:shd w:val="clear" w:color="auto" w:fill="DEEAF6"/>
            <w:vAlign w:val="center"/>
          </w:tcPr>
          <w:p w14:paraId="34509B28" w14:textId="77777777" w:rsidR="001C560E" w:rsidRPr="00512BE3" w:rsidRDefault="001C560E" w:rsidP="001C560E">
            <w:pPr>
              <w:jc w:val="both"/>
              <w:rPr>
                <w:sz w:val="20"/>
                <w:szCs w:val="20"/>
                <w:lang w:val="bs-Latn-BA" w:eastAsia="sr-Latn-CS"/>
              </w:rPr>
            </w:pPr>
            <w:r w:rsidRPr="00512BE3">
              <w:rPr>
                <w:bCs/>
                <w:sz w:val="20"/>
                <w:szCs w:val="20"/>
                <w:lang w:val="hr-BA" w:eastAsia="sr-Latn-CS"/>
              </w:rPr>
              <w:t>Pljenidba zakupnina</w:t>
            </w:r>
          </w:p>
        </w:tc>
        <w:tc>
          <w:tcPr>
            <w:tcW w:w="709" w:type="dxa"/>
            <w:shd w:val="clear" w:color="auto" w:fill="DEEAF6"/>
            <w:noWrap/>
            <w:vAlign w:val="center"/>
          </w:tcPr>
          <w:p w14:paraId="135D1F95"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87</w:t>
            </w:r>
          </w:p>
        </w:tc>
        <w:tc>
          <w:tcPr>
            <w:tcW w:w="1660" w:type="dxa"/>
            <w:shd w:val="clear" w:color="auto" w:fill="DEEAF6"/>
            <w:noWrap/>
            <w:vAlign w:val="center"/>
          </w:tcPr>
          <w:p w14:paraId="769146A1"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1.131.502,24</w:t>
            </w:r>
          </w:p>
        </w:tc>
        <w:tc>
          <w:tcPr>
            <w:tcW w:w="750" w:type="dxa"/>
            <w:shd w:val="clear" w:color="auto" w:fill="DEEAF6"/>
            <w:noWrap/>
            <w:vAlign w:val="center"/>
          </w:tcPr>
          <w:p w14:paraId="3E4F94D6"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99</w:t>
            </w:r>
          </w:p>
        </w:tc>
        <w:tc>
          <w:tcPr>
            <w:tcW w:w="1952" w:type="dxa"/>
            <w:shd w:val="clear" w:color="auto" w:fill="DEEAF6"/>
            <w:noWrap/>
            <w:vAlign w:val="center"/>
          </w:tcPr>
          <w:p w14:paraId="0E0DA372"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671.338,76</w:t>
            </w:r>
          </w:p>
        </w:tc>
      </w:tr>
      <w:tr w:rsidR="001C560E" w:rsidRPr="00512BE3" w14:paraId="50198BFA" w14:textId="77777777" w:rsidTr="001C560E">
        <w:trPr>
          <w:trHeight w:val="253"/>
        </w:trPr>
        <w:tc>
          <w:tcPr>
            <w:tcW w:w="3964" w:type="dxa"/>
            <w:shd w:val="clear" w:color="auto" w:fill="auto"/>
            <w:vAlign w:val="center"/>
          </w:tcPr>
          <w:p w14:paraId="19D06794" w14:textId="77777777" w:rsidR="001C560E" w:rsidRPr="00512BE3" w:rsidRDefault="001C560E" w:rsidP="001C560E">
            <w:pPr>
              <w:jc w:val="both"/>
              <w:rPr>
                <w:sz w:val="20"/>
                <w:szCs w:val="20"/>
                <w:lang w:val="bs-Latn-BA" w:eastAsia="sr-Latn-CS"/>
              </w:rPr>
            </w:pPr>
            <w:r w:rsidRPr="00512BE3">
              <w:rPr>
                <w:sz w:val="20"/>
                <w:szCs w:val="20"/>
                <w:lang w:val="bs-Latn-BA" w:eastAsia="sr-Latn-CS"/>
              </w:rPr>
              <w:t xml:space="preserve">Posebna šema dužnika – naplaćeni dug </w:t>
            </w:r>
          </w:p>
        </w:tc>
        <w:tc>
          <w:tcPr>
            <w:tcW w:w="709" w:type="dxa"/>
            <w:shd w:val="clear" w:color="auto" w:fill="DEEAF6"/>
            <w:noWrap/>
            <w:vAlign w:val="center"/>
          </w:tcPr>
          <w:p w14:paraId="6B2250A9"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5</w:t>
            </w:r>
          </w:p>
        </w:tc>
        <w:tc>
          <w:tcPr>
            <w:tcW w:w="1660" w:type="dxa"/>
            <w:shd w:val="clear" w:color="auto" w:fill="auto"/>
            <w:noWrap/>
            <w:vAlign w:val="center"/>
          </w:tcPr>
          <w:p w14:paraId="1E7D5091"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197.530,49</w:t>
            </w:r>
          </w:p>
        </w:tc>
        <w:tc>
          <w:tcPr>
            <w:tcW w:w="750" w:type="dxa"/>
            <w:shd w:val="clear" w:color="auto" w:fill="DEEAF6"/>
            <w:noWrap/>
            <w:vAlign w:val="center"/>
          </w:tcPr>
          <w:p w14:paraId="4888972D"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2</w:t>
            </w:r>
          </w:p>
        </w:tc>
        <w:tc>
          <w:tcPr>
            <w:tcW w:w="1952" w:type="dxa"/>
            <w:shd w:val="clear" w:color="auto" w:fill="auto"/>
            <w:noWrap/>
            <w:vAlign w:val="center"/>
          </w:tcPr>
          <w:p w14:paraId="3B1C84A5"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185.499,91</w:t>
            </w:r>
          </w:p>
        </w:tc>
      </w:tr>
      <w:tr w:rsidR="001C560E" w:rsidRPr="00512BE3" w14:paraId="176223A2" w14:textId="77777777" w:rsidTr="001C560E">
        <w:trPr>
          <w:trHeight w:val="253"/>
        </w:trPr>
        <w:tc>
          <w:tcPr>
            <w:tcW w:w="3964" w:type="dxa"/>
            <w:shd w:val="clear" w:color="auto" w:fill="DEEAF6"/>
            <w:vAlign w:val="center"/>
          </w:tcPr>
          <w:p w14:paraId="7F1BCE15" w14:textId="77777777" w:rsidR="001C560E" w:rsidRPr="00512BE3" w:rsidRDefault="001C560E" w:rsidP="001C560E">
            <w:pPr>
              <w:jc w:val="both"/>
              <w:rPr>
                <w:sz w:val="20"/>
                <w:szCs w:val="20"/>
                <w:lang w:val="bs-Latn-BA" w:eastAsia="sr-Latn-CS"/>
              </w:rPr>
            </w:pPr>
            <w:r w:rsidRPr="00512BE3">
              <w:rPr>
                <w:sz w:val="20"/>
                <w:szCs w:val="20"/>
                <w:lang w:val="bs-Latn-BA" w:eastAsia="sr-Latn-CS"/>
              </w:rPr>
              <w:t>Prodaja oduzete imovine - aukcija</w:t>
            </w:r>
          </w:p>
        </w:tc>
        <w:tc>
          <w:tcPr>
            <w:tcW w:w="709" w:type="dxa"/>
            <w:shd w:val="clear" w:color="auto" w:fill="DEEAF6"/>
            <w:noWrap/>
            <w:vAlign w:val="center"/>
          </w:tcPr>
          <w:p w14:paraId="68BDFAC8"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23</w:t>
            </w:r>
          </w:p>
        </w:tc>
        <w:tc>
          <w:tcPr>
            <w:tcW w:w="1660" w:type="dxa"/>
            <w:shd w:val="clear" w:color="auto" w:fill="DEEAF6"/>
            <w:noWrap/>
            <w:vAlign w:val="center"/>
          </w:tcPr>
          <w:p w14:paraId="5B4AADEF"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71.117,29</w:t>
            </w:r>
          </w:p>
        </w:tc>
        <w:tc>
          <w:tcPr>
            <w:tcW w:w="750" w:type="dxa"/>
            <w:shd w:val="clear" w:color="auto" w:fill="DEEAF6"/>
            <w:noWrap/>
            <w:vAlign w:val="center"/>
          </w:tcPr>
          <w:p w14:paraId="5AFF9D83"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12</w:t>
            </w:r>
          </w:p>
        </w:tc>
        <w:tc>
          <w:tcPr>
            <w:tcW w:w="1952" w:type="dxa"/>
            <w:shd w:val="clear" w:color="auto" w:fill="DEEAF6"/>
            <w:noWrap/>
            <w:vAlign w:val="center"/>
          </w:tcPr>
          <w:p w14:paraId="1B4A95D1"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13.430,20</w:t>
            </w:r>
          </w:p>
        </w:tc>
      </w:tr>
      <w:tr w:rsidR="001C560E" w:rsidRPr="00512BE3" w14:paraId="71257254" w14:textId="77777777" w:rsidTr="001C560E">
        <w:trPr>
          <w:trHeight w:val="253"/>
        </w:trPr>
        <w:tc>
          <w:tcPr>
            <w:tcW w:w="3964" w:type="dxa"/>
            <w:shd w:val="clear" w:color="auto" w:fill="auto"/>
            <w:vAlign w:val="center"/>
          </w:tcPr>
          <w:p w14:paraId="2AFDB3E0" w14:textId="77777777" w:rsidR="001C560E" w:rsidRPr="00512BE3" w:rsidRDefault="001C560E" w:rsidP="001C560E">
            <w:pPr>
              <w:jc w:val="both"/>
              <w:rPr>
                <w:sz w:val="20"/>
                <w:szCs w:val="20"/>
                <w:lang w:val="bs-Latn-BA" w:eastAsia="sr-Latn-CS"/>
              </w:rPr>
            </w:pPr>
            <w:r w:rsidRPr="00512BE3">
              <w:rPr>
                <w:sz w:val="20"/>
                <w:szCs w:val="20"/>
                <w:lang w:val="bs-Latn-BA" w:eastAsia="sr-Latn-CS"/>
              </w:rPr>
              <w:t>Prodaja oduzete imovine – direktna prodaja</w:t>
            </w:r>
          </w:p>
        </w:tc>
        <w:tc>
          <w:tcPr>
            <w:tcW w:w="709" w:type="dxa"/>
            <w:shd w:val="clear" w:color="auto" w:fill="DEEAF6"/>
            <w:noWrap/>
            <w:vAlign w:val="center"/>
          </w:tcPr>
          <w:p w14:paraId="61EA70CA"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16</w:t>
            </w:r>
          </w:p>
        </w:tc>
        <w:tc>
          <w:tcPr>
            <w:tcW w:w="1660" w:type="dxa"/>
            <w:shd w:val="clear" w:color="auto" w:fill="auto"/>
            <w:noWrap/>
            <w:vAlign w:val="center"/>
          </w:tcPr>
          <w:p w14:paraId="79F5DC1B"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98.543,00</w:t>
            </w:r>
          </w:p>
        </w:tc>
        <w:tc>
          <w:tcPr>
            <w:tcW w:w="750" w:type="dxa"/>
            <w:shd w:val="clear" w:color="auto" w:fill="DEEAF6"/>
            <w:noWrap/>
            <w:vAlign w:val="center"/>
          </w:tcPr>
          <w:p w14:paraId="6809F922"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8</w:t>
            </w:r>
          </w:p>
        </w:tc>
        <w:tc>
          <w:tcPr>
            <w:tcW w:w="1952" w:type="dxa"/>
            <w:shd w:val="clear" w:color="auto" w:fill="auto"/>
            <w:noWrap/>
            <w:vAlign w:val="center"/>
          </w:tcPr>
          <w:p w14:paraId="61A77AF8"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33.327,05</w:t>
            </w:r>
          </w:p>
        </w:tc>
      </w:tr>
      <w:tr w:rsidR="001C560E" w:rsidRPr="00512BE3" w14:paraId="65CEEE7E" w14:textId="77777777" w:rsidTr="001C560E">
        <w:trPr>
          <w:trHeight w:val="253"/>
        </w:trPr>
        <w:tc>
          <w:tcPr>
            <w:tcW w:w="3964" w:type="dxa"/>
            <w:shd w:val="clear" w:color="auto" w:fill="DEEAF6"/>
            <w:vAlign w:val="center"/>
          </w:tcPr>
          <w:p w14:paraId="449FF27B" w14:textId="77777777" w:rsidR="001C560E" w:rsidRPr="00512BE3" w:rsidRDefault="001C560E" w:rsidP="001C560E">
            <w:pPr>
              <w:jc w:val="both"/>
              <w:rPr>
                <w:sz w:val="20"/>
                <w:szCs w:val="20"/>
                <w:lang w:val="bs-Latn-BA" w:eastAsia="sr-Latn-CS"/>
              </w:rPr>
            </w:pPr>
            <w:r w:rsidRPr="00512BE3">
              <w:rPr>
                <w:sz w:val="20"/>
                <w:szCs w:val="20"/>
                <w:lang w:val="bs-Latn-BA" w:eastAsia="sr-Latn-CS"/>
              </w:rPr>
              <w:t xml:space="preserve">Prodaja HOV </w:t>
            </w:r>
          </w:p>
        </w:tc>
        <w:tc>
          <w:tcPr>
            <w:tcW w:w="709" w:type="dxa"/>
            <w:shd w:val="clear" w:color="auto" w:fill="DEEAF6"/>
            <w:noWrap/>
            <w:vAlign w:val="center"/>
          </w:tcPr>
          <w:p w14:paraId="47263D2A"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36</w:t>
            </w:r>
          </w:p>
        </w:tc>
        <w:tc>
          <w:tcPr>
            <w:tcW w:w="1660" w:type="dxa"/>
            <w:shd w:val="clear" w:color="auto" w:fill="DEEAF6"/>
            <w:noWrap/>
            <w:vAlign w:val="center"/>
          </w:tcPr>
          <w:p w14:paraId="21053DFD"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67.558,27</w:t>
            </w:r>
          </w:p>
        </w:tc>
        <w:tc>
          <w:tcPr>
            <w:tcW w:w="750" w:type="dxa"/>
            <w:shd w:val="clear" w:color="auto" w:fill="DEEAF6"/>
            <w:noWrap/>
            <w:vAlign w:val="center"/>
          </w:tcPr>
          <w:p w14:paraId="6127E28F"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16</w:t>
            </w:r>
          </w:p>
        </w:tc>
        <w:tc>
          <w:tcPr>
            <w:tcW w:w="1952" w:type="dxa"/>
            <w:shd w:val="clear" w:color="auto" w:fill="DEEAF6"/>
            <w:noWrap/>
            <w:vAlign w:val="center"/>
          </w:tcPr>
          <w:p w14:paraId="522B6502"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102.155,53</w:t>
            </w:r>
          </w:p>
        </w:tc>
      </w:tr>
      <w:tr w:rsidR="001C560E" w:rsidRPr="00512BE3" w14:paraId="31DB6874" w14:textId="77777777" w:rsidTr="001C560E">
        <w:trPr>
          <w:trHeight w:val="253"/>
        </w:trPr>
        <w:tc>
          <w:tcPr>
            <w:tcW w:w="3964" w:type="dxa"/>
            <w:shd w:val="clear" w:color="auto" w:fill="auto"/>
            <w:vAlign w:val="center"/>
          </w:tcPr>
          <w:p w14:paraId="4EA03FC6" w14:textId="77777777" w:rsidR="001C560E" w:rsidRPr="00512BE3" w:rsidRDefault="001C560E" w:rsidP="001C560E">
            <w:pPr>
              <w:jc w:val="both"/>
              <w:rPr>
                <w:sz w:val="20"/>
                <w:szCs w:val="20"/>
                <w:lang w:val="bs-Latn-BA" w:eastAsia="sr-Latn-CS"/>
              </w:rPr>
            </w:pPr>
            <w:r w:rsidRPr="00512BE3">
              <w:rPr>
                <w:bCs/>
                <w:sz w:val="20"/>
                <w:szCs w:val="20"/>
                <w:lang w:val="hr-BA" w:eastAsia="sr-Latn-CS"/>
              </w:rPr>
              <w:t>Naplaćena potraživanja u postupku restrukturiranja, stečajnom postupku i likvidacionom postupku</w:t>
            </w:r>
          </w:p>
        </w:tc>
        <w:tc>
          <w:tcPr>
            <w:tcW w:w="709" w:type="dxa"/>
            <w:shd w:val="clear" w:color="auto" w:fill="DEEAF6"/>
            <w:noWrap/>
            <w:vAlign w:val="center"/>
          </w:tcPr>
          <w:p w14:paraId="74BB6D43"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0</w:t>
            </w:r>
          </w:p>
        </w:tc>
        <w:tc>
          <w:tcPr>
            <w:tcW w:w="1660" w:type="dxa"/>
            <w:shd w:val="clear" w:color="auto" w:fill="auto"/>
            <w:noWrap/>
            <w:vAlign w:val="center"/>
          </w:tcPr>
          <w:p w14:paraId="555B977A"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1.509.147,06</w:t>
            </w:r>
          </w:p>
        </w:tc>
        <w:tc>
          <w:tcPr>
            <w:tcW w:w="750" w:type="dxa"/>
            <w:shd w:val="clear" w:color="auto" w:fill="DEEAF6"/>
            <w:noWrap/>
            <w:vAlign w:val="center"/>
          </w:tcPr>
          <w:p w14:paraId="35CF1224"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18</w:t>
            </w:r>
          </w:p>
        </w:tc>
        <w:tc>
          <w:tcPr>
            <w:tcW w:w="1952" w:type="dxa"/>
            <w:shd w:val="clear" w:color="auto" w:fill="auto"/>
            <w:noWrap/>
            <w:vAlign w:val="center"/>
          </w:tcPr>
          <w:p w14:paraId="63F7BB5A"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611.841,66</w:t>
            </w:r>
          </w:p>
        </w:tc>
      </w:tr>
      <w:tr w:rsidR="001C560E" w:rsidRPr="00512BE3" w14:paraId="0AAEEA9B" w14:textId="77777777" w:rsidTr="001C560E">
        <w:trPr>
          <w:trHeight w:val="507"/>
        </w:trPr>
        <w:tc>
          <w:tcPr>
            <w:tcW w:w="3964" w:type="dxa"/>
            <w:shd w:val="clear" w:color="auto" w:fill="DEEAF6"/>
            <w:vAlign w:val="center"/>
          </w:tcPr>
          <w:p w14:paraId="4942EE2D" w14:textId="77777777" w:rsidR="001C560E" w:rsidRPr="00512BE3" w:rsidRDefault="001C560E" w:rsidP="001C560E">
            <w:pPr>
              <w:jc w:val="both"/>
              <w:rPr>
                <w:sz w:val="20"/>
                <w:szCs w:val="20"/>
                <w:lang w:val="bs-Latn-BA" w:eastAsia="sr-Latn-CS"/>
              </w:rPr>
            </w:pPr>
            <w:r w:rsidRPr="00512BE3">
              <w:rPr>
                <w:sz w:val="20"/>
                <w:szCs w:val="20"/>
                <w:lang w:val="bs-Latn-BA" w:eastAsia="sr-Latn-CS"/>
              </w:rPr>
              <w:t>Naplaćeni iznos u sudskom izvršnom postupku (prodaja imovine opterećene založnim pravom)</w:t>
            </w:r>
          </w:p>
        </w:tc>
        <w:tc>
          <w:tcPr>
            <w:tcW w:w="709" w:type="dxa"/>
            <w:shd w:val="clear" w:color="auto" w:fill="DEEAF6"/>
            <w:noWrap/>
            <w:vAlign w:val="center"/>
          </w:tcPr>
          <w:p w14:paraId="27B80B7E"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0</w:t>
            </w:r>
          </w:p>
        </w:tc>
        <w:tc>
          <w:tcPr>
            <w:tcW w:w="1660" w:type="dxa"/>
            <w:shd w:val="clear" w:color="auto" w:fill="DEEAF6"/>
            <w:noWrap/>
            <w:vAlign w:val="center"/>
          </w:tcPr>
          <w:p w14:paraId="5A9D9DC4"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0,00</w:t>
            </w:r>
          </w:p>
        </w:tc>
        <w:tc>
          <w:tcPr>
            <w:tcW w:w="750" w:type="dxa"/>
            <w:shd w:val="clear" w:color="auto" w:fill="DEEAF6"/>
            <w:noWrap/>
            <w:vAlign w:val="center"/>
          </w:tcPr>
          <w:p w14:paraId="6BBA3C7F" w14:textId="77777777" w:rsidR="001C560E" w:rsidRPr="00512BE3" w:rsidRDefault="001C560E" w:rsidP="001C560E">
            <w:pPr>
              <w:jc w:val="center"/>
              <w:rPr>
                <w:bCs/>
                <w:sz w:val="20"/>
                <w:szCs w:val="20"/>
                <w:lang w:val="bs-Latn-BA" w:eastAsia="sr-Latn-CS"/>
              </w:rPr>
            </w:pPr>
            <w:r w:rsidRPr="00512BE3">
              <w:rPr>
                <w:bCs/>
                <w:sz w:val="20"/>
                <w:szCs w:val="20"/>
                <w:lang w:val="bs-Latn-BA" w:eastAsia="sr-Latn-CS"/>
              </w:rPr>
              <w:t>0</w:t>
            </w:r>
          </w:p>
        </w:tc>
        <w:tc>
          <w:tcPr>
            <w:tcW w:w="1952" w:type="dxa"/>
            <w:shd w:val="clear" w:color="auto" w:fill="DEEAF6"/>
            <w:noWrap/>
            <w:vAlign w:val="center"/>
          </w:tcPr>
          <w:p w14:paraId="62AFBB3C" w14:textId="77777777" w:rsidR="001C560E" w:rsidRPr="00512BE3" w:rsidRDefault="001C560E" w:rsidP="001C560E">
            <w:pPr>
              <w:jc w:val="right"/>
              <w:rPr>
                <w:bCs/>
                <w:sz w:val="20"/>
                <w:szCs w:val="20"/>
                <w:lang w:val="bs-Latn-BA" w:eastAsia="sr-Latn-CS"/>
              </w:rPr>
            </w:pPr>
            <w:r w:rsidRPr="00512BE3">
              <w:rPr>
                <w:bCs/>
                <w:sz w:val="20"/>
                <w:szCs w:val="20"/>
                <w:lang w:val="bs-Latn-BA" w:eastAsia="sr-Latn-CS"/>
              </w:rPr>
              <w:t>108.239,32</w:t>
            </w:r>
          </w:p>
        </w:tc>
      </w:tr>
      <w:tr w:rsidR="001C560E" w:rsidRPr="00512BE3" w14:paraId="192C7882" w14:textId="77777777" w:rsidTr="001C560E">
        <w:trPr>
          <w:trHeight w:val="507"/>
        </w:trPr>
        <w:tc>
          <w:tcPr>
            <w:tcW w:w="3964" w:type="dxa"/>
            <w:shd w:val="clear" w:color="auto" w:fill="auto"/>
            <w:vAlign w:val="center"/>
          </w:tcPr>
          <w:p w14:paraId="736AEECF" w14:textId="77777777" w:rsidR="001C560E" w:rsidRPr="00512BE3" w:rsidRDefault="001C560E" w:rsidP="001C560E">
            <w:pPr>
              <w:jc w:val="both"/>
              <w:rPr>
                <w:b/>
                <w:sz w:val="20"/>
                <w:szCs w:val="20"/>
                <w:lang w:val="bs-Latn-BA" w:eastAsia="sr-Latn-CS"/>
              </w:rPr>
            </w:pPr>
            <w:r w:rsidRPr="00512BE3">
              <w:rPr>
                <w:b/>
                <w:sz w:val="20"/>
                <w:szCs w:val="20"/>
                <w:lang w:val="bs-Latn-BA" w:eastAsia="sr-Latn-CS"/>
              </w:rPr>
              <w:t xml:space="preserve">UKUPNO </w:t>
            </w:r>
          </w:p>
        </w:tc>
        <w:tc>
          <w:tcPr>
            <w:tcW w:w="709" w:type="dxa"/>
            <w:shd w:val="clear" w:color="auto" w:fill="DEEAF6"/>
            <w:noWrap/>
            <w:vAlign w:val="center"/>
          </w:tcPr>
          <w:p w14:paraId="6858655F"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13371</w:t>
            </w:r>
          </w:p>
        </w:tc>
        <w:tc>
          <w:tcPr>
            <w:tcW w:w="1660" w:type="dxa"/>
            <w:shd w:val="clear" w:color="auto" w:fill="auto"/>
            <w:noWrap/>
            <w:vAlign w:val="center"/>
          </w:tcPr>
          <w:p w14:paraId="2235D630" w14:textId="77777777" w:rsidR="001C560E" w:rsidRPr="00512BE3" w:rsidRDefault="001C560E" w:rsidP="001C560E">
            <w:pPr>
              <w:jc w:val="right"/>
              <w:rPr>
                <w:b/>
                <w:bCs/>
                <w:sz w:val="20"/>
                <w:szCs w:val="20"/>
                <w:lang w:val="bs-Latn-BA" w:eastAsia="sr-Latn-CS"/>
              </w:rPr>
            </w:pPr>
            <w:r w:rsidRPr="00512BE3">
              <w:rPr>
                <w:b/>
                <w:bCs/>
                <w:sz w:val="20"/>
                <w:szCs w:val="20"/>
                <w:lang w:val="bs-Latn-BA" w:eastAsia="sr-Latn-CS"/>
              </w:rPr>
              <w:t>32.252.505,00</w:t>
            </w:r>
          </w:p>
        </w:tc>
        <w:tc>
          <w:tcPr>
            <w:tcW w:w="750" w:type="dxa"/>
            <w:shd w:val="clear" w:color="auto" w:fill="DEEAF6"/>
            <w:noWrap/>
            <w:vAlign w:val="center"/>
          </w:tcPr>
          <w:p w14:paraId="0666BFC4" w14:textId="77777777" w:rsidR="001C560E" w:rsidRPr="00512BE3" w:rsidRDefault="001C560E" w:rsidP="001C560E">
            <w:pPr>
              <w:jc w:val="center"/>
              <w:rPr>
                <w:b/>
                <w:bCs/>
                <w:sz w:val="20"/>
                <w:szCs w:val="20"/>
                <w:lang w:val="bs-Latn-BA" w:eastAsia="sr-Latn-CS"/>
              </w:rPr>
            </w:pPr>
            <w:r w:rsidRPr="00512BE3">
              <w:rPr>
                <w:b/>
                <w:bCs/>
                <w:sz w:val="20"/>
                <w:szCs w:val="20"/>
                <w:lang w:val="bs-Latn-BA" w:eastAsia="sr-Latn-CS"/>
              </w:rPr>
              <w:t>11488</w:t>
            </w:r>
          </w:p>
        </w:tc>
        <w:tc>
          <w:tcPr>
            <w:tcW w:w="1952" w:type="dxa"/>
            <w:shd w:val="clear" w:color="auto" w:fill="auto"/>
            <w:noWrap/>
            <w:vAlign w:val="center"/>
          </w:tcPr>
          <w:p w14:paraId="2ED76AE4" w14:textId="77777777" w:rsidR="001C560E" w:rsidRPr="00512BE3" w:rsidRDefault="001C560E" w:rsidP="001C560E">
            <w:pPr>
              <w:jc w:val="right"/>
              <w:rPr>
                <w:b/>
                <w:bCs/>
                <w:sz w:val="20"/>
                <w:szCs w:val="20"/>
                <w:lang w:val="bs-Latn-BA" w:eastAsia="sr-Latn-CS"/>
              </w:rPr>
            </w:pPr>
            <w:r w:rsidRPr="00512BE3">
              <w:rPr>
                <w:b/>
                <w:bCs/>
                <w:sz w:val="20"/>
                <w:szCs w:val="20"/>
                <w:lang w:val="bs-Latn-BA" w:eastAsia="sr-Latn-CS"/>
              </w:rPr>
              <w:t>26.221.064,12</w:t>
            </w:r>
          </w:p>
        </w:tc>
      </w:tr>
    </w:tbl>
    <w:p w14:paraId="6AD0BE5E" w14:textId="77777777" w:rsidR="007B6CB6" w:rsidRPr="00512BE3" w:rsidRDefault="007B6CB6" w:rsidP="0095417A">
      <w:pPr>
        <w:ind w:firstLine="709"/>
        <w:jc w:val="both"/>
        <w:rPr>
          <w:sz w:val="22"/>
          <w:szCs w:val="22"/>
          <w:lang w:val="bs-Latn-BA"/>
        </w:rPr>
      </w:pPr>
    </w:p>
    <w:p w14:paraId="3CF00B8D" w14:textId="34673D59" w:rsidR="0095417A" w:rsidRPr="00512BE3" w:rsidRDefault="009D7CA8" w:rsidP="0095417A">
      <w:pPr>
        <w:ind w:firstLine="709"/>
        <w:jc w:val="both"/>
        <w:rPr>
          <w:sz w:val="22"/>
          <w:szCs w:val="22"/>
          <w:lang w:val="sr-Latn-CS" w:eastAsia="sr-Latn-CS"/>
        </w:rPr>
      </w:pPr>
      <w:r w:rsidRPr="00512BE3">
        <w:rPr>
          <w:sz w:val="22"/>
          <w:szCs w:val="22"/>
          <w:lang w:val="bs-Latn-BA"/>
        </w:rPr>
        <w:t>U odnosu na iskazane tabelarne podatke,</w:t>
      </w:r>
      <w:r w:rsidR="006D0E8D" w:rsidRPr="00512BE3">
        <w:rPr>
          <w:sz w:val="22"/>
          <w:szCs w:val="22"/>
          <w:lang w:val="bs-Latn-BA"/>
        </w:rPr>
        <w:t xml:space="preserve"> treba uobziriti činjenicu da ostvareni efekti pljenidbe ne ovise samo od pravovremenog poduzimanja mjera prinudne naplate nego i od drugih vanjskih faktora, i to prvenstveno platežne sposobnosti dužnika i raspoloživosti imovine pogodne za pljenidbu u cilju namirenja duga.</w:t>
      </w:r>
      <w:r w:rsidR="00625BA2" w:rsidRPr="00512BE3">
        <w:rPr>
          <w:sz w:val="22"/>
          <w:szCs w:val="22"/>
          <w:lang w:val="bs-Latn-BA"/>
        </w:rPr>
        <w:t xml:space="preserve"> </w:t>
      </w:r>
      <w:r w:rsidR="006849FC" w:rsidRPr="00512BE3">
        <w:rPr>
          <w:sz w:val="22"/>
          <w:szCs w:val="22"/>
          <w:lang w:val="sr-Latn-CS" w:eastAsia="sr-Latn-CS"/>
        </w:rPr>
        <w:t xml:space="preserve">Osim navedenih efekata </w:t>
      </w:r>
      <w:r w:rsidR="00100F71" w:rsidRPr="00512BE3">
        <w:rPr>
          <w:sz w:val="22"/>
          <w:szCs w:val="22"/>
          <w:lang w:val="sr-Latn-CS" w:eastAsia="sr-Latn-CS"/>
        </w:rPr>
        <w:t xml:space="preserve">pljenidbe </w:t>
      </w:r>
      <w:r w:rsidR="006849FC" w:rsidRPr="00512BE3">
        <w:rPr>
          <w:sz w:val="22"/>
          <w:szCs w:val="22"/>
          <w:lang w:val="sr-Latn-CS" w:eastAsia="sr-Latn-CS"/>
        </w:rPr>
        <w:t xml:space="preserve">u naplati duga, </w:t>
      </w:r>
      <w:r w:rsidR="00100F71" w:rsidRPr="00512BE3">
        <w:rPr>
          <w:sz w:val="22"/>
          <w:szCs w:val="22"/>
          <w:lang w:val="sr-Latn-CS" w:eastAsia="sr-Latn-CS"/>
        </w:rPr>
        <w:t xml:space="preserve">preduzimane su i druge propisane mjere prinudne naplate duga i to: </w:t>
      </w:r>
      <w:r w:rsidR="006849FC" w:rsidRPr="00512BE3">
        <w:rPr>
          <w:sz w:val="22"/>
          <w:szCs w:val="22"/>
          <w:lang w:val="sr-Latn-CS" w:eastAsia="sr-Latn-CS"/>
        </w:rPr>
        <w:t>obustavljanje transakcija preko bankovnih računa (rješenja o blokadi računa)</w:t>
      </w:r>
      <w:r w:rsidR="00554173" w:rsidRPr="00512BE3">
        <w:rPr>
          <w:sz w:val="22"/>
          <w:szCs w:val="22"/>
          <w:lang w:val="sr-Latn-CS" w:eastAsia="sr-Latn-CS"/>
        </w:rPr>
        <w:t xml:space="preserve"> – izdato ukupno </w:t>
      </w:r>
      <w:r w:rsidR="001C560E" w:rsidRPr="00512BE3">
        <w:rPr>
          <w:sz w:val="22"/>
          <w:szCs w:val="22"/>
          <w:lang w:val="sr-Latn-CS" w:eastAsia="sr-Latn-CS"/>
        </w:rPr>
        <w:t>4.533</w:t>
      </w:r>
      <w:r w:rsidR="00554173" w:rsidRPr="00512BE3">
        <w:rPr>
          <w:sz w:val="22"/>
          <w:szCs w:val="22"/>
          <w:lang w:val="sr-Latn-CS" w:eastAsia="sr-Latn-CS"/>
        </w:rPr>
        <w:t xml:space="preserve"> rješenja</w:t>
      </w:r>
      <w:r w:rsidR="006849FC" w:rsidRPr="00512BE3">
        <w:rPr>
          <w:sz w:val="22"/>
          <w:szCs w:val="22"/>
          <w:lang w:eastAsia="sr-Latn-CS"/>
        </w:rPr>
        <w:t xml:space="preserve">; </w:t>
      </w:r>
      <w:r w:rsidR="006849FC" w:rsidRPr="00512BE3">
        <w:rPr>
          <w:sz w:val="22"/>
          <w:szCs w:val="22"/>
          <w:lang w:val="sr-Latn-CS" w:eastAsia="sr-Latn-CS"/>
        </w:rPr>
        <w:t xml:space="preserve">pljenidba </w:t>
      </w:r>
      <w:r w:rsidR="00554173" w:rsidRPr="00512BE3">
        <w:rPr>
          <w:sz w:val="22"/>
          <w:szCs w:val="22"/>
          <w:lang w:val="sr-Latn-CS" w:eastAsia="sr-Latn-CS"/>
        </w:rPr>
        <w:t>hartije od vrijednosti (</w:t>
      </w:r>
      <w:r w:rsidR="006849FC" w:rsidRPr="00512BE3">
        <w:rPr>
          <w:sz w:val="22"/>
          <w:szCs w:val="22"/>
          <w:lang w:val="sr-Latn-CS" w:eastAsia="sr-Latn-CS"/>
        </w:rPr>
        <w:t>HOV</w:t>
      </w:r>
      <w:r w:rsidR="00554173" w:rsidRPr="00512BE3">
        <w:rPr>
          <w:sz w:val="22"/>
          <w:szCs w:val="22"/>
          <w:lang w:val="sr-Latn-CS" w:eastAsia="sr-Latn-CS"/>
        </w:rPr>
        <w:t>) – ukupno 1</w:t>
      </w:r>
      <w:r w:rsidR="001C560E" w:rsidRPr="00512BE3">
        <w:rPr>
          <w:sz w:val="22"/>
          <w:szCs w:val="22"/>
          <w:lang w:val="sr-Latn-CS" w:eastAsia="sr-Latn-CS"/>
        </w:rPr>
        <w:t>5</w:t>
      </w:r>
      <w:r w:rsidR="006849FC" w:rsidRPr="00512BE3">
        <w:rPr>
          <w:sz w:val="22"/>
          <w:szCs w:val="22"/>
          <w:lang w:val="sr-Latn-CS" w:eastAsia="sr-Latn-CS"/>
        </w:rPr>
        <w:t>; pljeni</w:t>
      </w:r>
      <w:r w:rsidR="00554173" w:rsidRPr="00512BE3">
        <w:rPr>
          <w:sz w:val="22"/>
          <w:szCs w:val="22"/>
          <w:lang w:val="sr-Latn-CS" w:eastAsia="sr-Latn-CS"/>
        </w:rPr>
        <w:t xml:space="preserve">dba pokretne imovine – ukupno </w:t>
      </w:r>
      <w:r w:rsidR="001C560E" w:rsidRPr="00512BE3">
        <w:rPr>
          <w:sz w:val="22"/>
          <w:szCs w:val="22"/>
          <w:lang w:val="sr-Latn-CS" w:eastAsia="sr-Latn-CS"/>
        </w:rPr>
        <w:t>15</w:t>
      </w:r>
      <w:r w:rsidR="006849FC" w:rsidRPr="00512BE3">
        <w:rPr>
          <w:sz w:val="22"/>
          <w:szCs w:val="22"/>
          <w:lang w:val="sr-Latn-CS" w:eastAsia="sr-Latn-CS"/>
        </w:rPr>
        <w:t xml:space="preserve">; pljenidba vozila – zaplijenjeno </w:t>
      </w:r>
      <w:r w:rsidR="001C560E" w:rsidRPr="00512BE3">
        <w:rPr>
          <w:sz w:val="22"/>
          <w:szCs w:val="22"/>
          <w:lang w:val="sr-Latn-CS" w:eastAsia="sr-Latn-CS"/>
        </w:rPr>
        <w:t>90</w:t>
      </w:r>
      <w:r w:rsidR="006849FC" w:rsidRPr="00512BE3">
        <w:rPr>
          <w:sz w:val="22"/>
          <w:szCs w:val="22"/>
          <w:lang w:val="sr-Latn-CS" w:eastAsia="sr-Latn-CS"/>
        </w:rPr>
        <w:t xml:space="preserve"> vozil</w:t>
      </w:r>
      <w:r w:rsidR="001C560E" w:rsidRPr="00512BE3">
        <w:rPr>
          <w:sz w:val="22"/>
          <w:szCs w:val="22"/>
          <w:lang w:val="sr-Latn-CS" w:eastAsia="sr-Latn-CS"/>
        </w:rPr>
        <w:t>a</w:t>
      </w:r>
      <w:r w:rsidR="004B5633" w:rsidRPr="00512BE3">
        <w:rPr>
          <w:sz w:val="22"/>
          <w:szCs w:val="22"/>
          <w:lang w:val="sr-Latn-CS" w:eastAsia="sr-Latn-CS"/>
        </w:rPr>
        <w:t xml:space="preserve">; pljenidba nekretnina – ukupno </w:t>
      </w:r>
      <w:r w:rsidR="001C560E" w:rsidRPr="00512BE3">
        <w:rPr>
          <w:sz w:val="22"/>
          <w:szCs w:val="22"/>
          <w:lang w:val="sr-Latn-CS" w:eastAsia="sr-Latn-CS"/>
        </w:rPr>
        <w:t>90</w:t>
      </w:r>
      <w:r w:rsidR="006849FC" w:rsidRPr="00512BE3">
        <w:rPr>
          <w:sz w:val="22"/>
          <w:szCs w:val="22"/>
          <w:lang w:val="sr-Latn-CS" w:eastAsia="sr-Latn-CS"/>
        </w:rPr>
        <w:t xml:space="preserve"> i registrova</w:t>
      </w:r>
      <w:r w:rsidR="001C560E" w:rsidRPr="00512BE3">
        <w:rPr>
          <w:sz w:val="22"/>
          <w:szCs w:val="22"/>
          <w:lang w:val="sr-Latn-CS" w:eastAsia="sr-Latn-CS"/>
        </w:rPr>
        <w:t>ne ukupno 67</w:t>
      </w:r>
      <w:r w:rsidR="00554173" w:rsidRPr="00512BE3">
        <w:rPr>
          <w:sz w:val="22"/>
          <w:szCs w:val="22"/>
          <w:lang w:val="sr-Latn-CS" w:eastAsia="sr-Latn-CS"/>
        </w:rPr>
        <w:t xml:space="preserve"> zakonskih hipoteka</w:t>
      </w:r>
      <w:r w:rsidR="006849FC" w:rsidRPr="00512BE3">
        <w:rPr>
          <w:sz w:val="22"/>
          <w:szCs w:val="22"/>
          <w:lang w:val="sr-Latn-CS" w:eastAsia="sr-Latn-CS"/>
        </w:rPr>
        <w:t>.</w:t>
      </w:r>
    </w:p>
    <w:p w14:paraId="5FCF5ACC" w14:textId="2F6B2826" w:rsidR="006C40FC" w:rsidRPr="00512BE3" w:rsidRDefault="0095417A" w:rsidP="0095417A">
      <w:pPr>
        <w:ind w:firstLine="709"/>
        <w:jc w:val="both"/>
        <w:rPr>
          <w:sz w:val="22"/>
          <w:szCs w:val="22"/>
          <w:lang w:val="sr-Latn-CS" w:eastAsia="sr-Latn-CS"/>
        </w:rPr>
      </w:pPr>
      <w:r w:rsidRPr="00512BE3">
        <w:rPr>
          <w:sz w:val="22"/>
          <w:szCs w:val="22"/>
          <w:lang w:val="sr-Latn-CS" w:eastAsia="sr-Latn-CS"/>
        </w:rPr>
        <w:t xml:space="preserve"> </w:t>
      </w:r>
      <w:r w:rsidR="00C35E94" w:rsidRPr="00512BE3">
        <w:rPr>
          <w:sz w:val="22"/>
          <w:szCs w:val="22"/>
          <w:lang w:val="hr-BA"/>
        </w:rPr>
        <w:t>Ukupno stanje duga nad kojim se vodi postupak stečaja i likvidacije prema prijavama potraživanja koje su knjižene u poresku aplikaciju ePorezi iznosi 156.084.516,77 KM (u 2021. godini taj dug iznosio je 157.667.823,95 KM), koji iznos se odnosi na priznata i nepriznata potraživanja nad kojim se vodi parnični postupak.</w:t>
      </w:r>
      <w:r w:rsidR="006C40FC" w:rsidRPr="00512BE3">
        <w:rPr>
          <w:bCs/>
          <w:sz w:val="22"/>
          <w:szCs w:val="22"/>
          <w:lang w:val="hr-BA"/>
        </w:rPr>
        <w:t xml:space="preserve"> Od ukupnog broja prijavljenih potraživanja prema entiteskim sjedištima stečajnih i likvidacionih dužnika iznos od </w:t>
      </w:r>
      <w:r w:rsidR="00C35E94" w:rsidRPr="00512BE3">
        <w:rPr>
          <w:bCs/>
          <w:sz w:val="22"/>
          <w:szCs w:val="22"/>
          <w:lang w:val="hr-BA"/>
        </w:rPr>
        <w:t>91.730.665,87 KM</w:t>
      </w:r>
      <w:r w:rsidR="006C40FC" w:rsidRPr="00512BE3">
        <w:rPr>
          <w:bCs/>
          <w:sz w:val="22"/>
          <w:szCs w:val="22"/>
          <w:lang w:val="hr-BA"/>
        </w:rPr>
        <w:t xml:space="preserve"> se odnosi na dužnike iz FBiH, iznos od </w:t>
      </w:r>
      <w:r w:rsidR="00E465B0" w:rsidRPr="00512BE3">
        <w:rPr>
          <w:bCs/>
          <w:sz w:val="22"/>
          <w:szCs w:val="22"/>
          <w:lang w:val="hr-BA"/>
        </w:rPr>
        <w:t>61.854.907,21 KM</w:t>
      </w:r>
      <w:r w:rsidR="006C40FC" w:rsidRPr="00512BE3">
        <w:rPr>
          <w:bCs/>
          <w:sz w:val="22"/>
          <w:szCs w:val="22"/>
          <w:lang w:val="hr-BA"/>
        </w:rPr>
        <w:t xml:space="preserve"> na dužnike iz RS dok se iznos od </w:t>
      </w:r>
      <w:r w:rsidR="00E465B0" w:rsidRPr="00512BE3">
        <w:rPr>
          <w:bCs/>
          <w:sz w:val="22"/>
          <w:szCs w:val="22"/>
          <w:lang w:val="hr-BA"/>
        </w:rPr>
        <w:t>2.498.943,69 KM</w:t>
      </w:r>
      <w:r w:rsidR="006C40FC" w:rsidRPr="00512BE3">
        <w:rPr>
          <w:bCs/>
          <w:sz w:val="22"/>
          <w:szCs w:val="22"/>
          <w:lang w:val="hr-BA"/>
        </w:rPr>
        <w:t xml:space="preserve"> odnosi na dužnike iz Brčko distrikta BiH. </w:t>
      </w:r>
      <w:r w:rsidR="006C40FC" w:rsidRPr="00512BE3">
        <w:rPr>
          <w:sz w:val="22"/>
          <w:szCs w:val="22"/>
          <w:lang w:val="hr-BA"/>
        </w:rPr>
        <w:t xml:space="preserve">Prema raspoloživim evidencijama, ukupno stanje reprogramiranog duga iznosi: </w:t>
      </w:r>
      <w:r w:rsidR="00E465B0" w:rsidRPr="00512BE3">
        <w:rPr>
          <w:bCs/>
          <w:sz w:val="22"/>
          <w:szCs w:val="22"/>
          <w:lang w:val="hr-BA"/>
        </w:rPr>
        <w:t>10.846.511,38</w:t>
      </w:r>
      <w:r w:rsidR="006C40FC" w:rsidRPr="00512BE3">
        <w:rPr>
          <w:bCs/>
          <w:sz w:val="22"/>
          <w:szCs w:val="22"/>
          <w:lang w:val="hr-BA"/>
        </w:rPr>
        <w:t xml:space="preserve"> KM (FBiH-</w:t>
      </w:r>
      <w:r w:rsidR="00E465B0" w:rsidRPr="00512BE3">
        <w:rPr>
          <w:bCs/>
          <w:sz w:val="22"/>
          <w:szCs w:val="22"/>
          <w:lang w:val="hr-BA"/>
        </w:rPr>
        <w:t>6.095.162,50</w:t>
      </w:r>
      <w:r w:rsidR="006C40FC" w:rsidRPr="00512BE3">
        <w:rPr>
          <w:bCs/>
          <w:sz w:val="22"/>
          <w:szCs w:val="22"/>
          <w:lang w:val="hr-BA"/>
        </w:rPr>
        <w:t xml:space="preserve"> KM, RS-</w:t>
      </w:r>
      <w:r w:rsidR="00E465B0" w:rsidRPr="00512BE3">
        <w:rPr>
          <w:bCs/>
          <w:sz w:val="22"/>
          <w:szCs w:val="22"/>
          <w:lang w:val="hr-BA"/>
        </w:rPr>
        <w:t>4.703.727,96</w:t>
      </w:r>
      <w:r w:rsidR="006C40FC" w:rsidRPr="00512BE3">
        <w:rPr>
          <w:bCs/>
          <w:sz w:val="22"/>
          <w:szCs w:val="22"/>
          <w:lang w:val="hr-BA"/>
        </w:rPr>
        <w:t xml:space="preserve"> KM, Brčko Distrikt BiH-</w:t>
      </w:r>
      <w:r w:rsidR="00E465B0" w:rsidRPr="00512BE3">
        <w:rPr>
          <w:bCs/>
          <w:sz w:val="22"/>
          <w:szCs w:val="22"/>
          <w:lang w:val="hr-BA"/>
        </w:rPr>
        <w:t>47.620,92</w:t>
      </w:r>
      <w:r w:rsidR="006C40FC" w:rsidRPr="00512BE3">
        <w:rPr>
          <w:bCs/>
          <w:sz w:val="22"/>
          <w:szCs w:val="22"/>
          <w:lang w:val="hr-BA"/>
        </w:rPr>
        <w:t>).</w:t>
      </w:r>
      <w:r w:rsidR="006C40FC" w:rsidRPr="00512BE3">
        <w:rPr>
          <w:sz w:val="22"/>
          <w:szCs w:val="22"/>
          <w:lang w:val="bs-Latn-BA"/>
        </w:rPr>
        <w:t xml:space="preserve"> </w:t>
      </w:r>
    </w:p>
    <w:p w14:paraId="65FE0C90" w14:textId="156534AF" w:rsidR="008152AE" w:rsidRPr="00512BE3" w:rsidRDefault="00E465B0" w:rsidP="0095417A">
      <w:pPr>
        <w:ind w:firstLine="709"/>
        <w:jc w:val="both"/>
        <w:rPr>
          <w:sz w:val="22"/>
          <w:szCs w:val="22"/>
          <w:lang w:val="bs-Latn-BA"/>
        </w:rPr>
      </w:pPr>
      <w:r w:rsidRPr="00512BE3">
        <w:rPr>
          <w:sz w:val="22"/>
          <w:szCs w:val="22"/>
          <w:lang w:val="bs-Latn-BA"/>
        </w:rPr>
        <w:t>U izvještajnom periodu podnesene su 172 prijave potraživanja za namirenje duga u ukupnom iznosu od 15.853.142,97 KM u stečajnom i likvidacionom postupku, za razliku od prethodne godine gdje je evidentirano da je podneseno ukupno 310 prijava potraživanja za dug u ukupnom iznosu od 38.805.815,07 KM.</w:t>
      </w:r>
      <w:r w:rsidR="0095417A" w:rsidRPr="00512BE3">
        <w:rPr>
          <w:sz w:val="22"/>
          <w:szCs w:val="22"/>
          <w:lang w:val="bs-Latn-BA"/>
        </w:rPr>
        <w:t xml:space="preserve"> </w:t>
      </w:r>
      <w:r w:rsidR="006C40FC" w:rsidRPr="00512BE3">
        <w:rPr>
          <w:bCs/>
          <w:sz w:val="22"/>
          <w:szCs w:val="22"/>
          <w:lang w:val="hr-BA" w:eastAsia="sr-Latn-CS"/>
        </w:rPr>
        <w:t>Za razliku od prethodnih godina koje su karakterisale veliki broj otvorenih postupaka likvidacije po službenoj dužnosti, u toku 202</w:t>
      </w:r>
      <w:r w:rsidR="002972D7" w:rsidRPr="00512BE3">
        <w:rPr>
          <w:bCs/>
          <w:sz w:val="22"/>
          <w:szCs w:val="22"/>
          <w:lang w:val="hr-BA" w:eastAsia="sr-Latn-CS"/>
        </w:rPr>
        <w:t>2</w:t>
      </w:r>
      <w:r w:rsidR="006C40FC" w:rsidRPr="00512BE3">
        <w:rPr>
          <w:bCs/>
          <w:sz w:val="22"/>
          <w:szCs w:val="22"/>
          <w:lang w:val="hr-BA" w:eastAsia="sr-Latn-CS"/>
        </w:rPr>
        <w:t xml:space="preserve">. godine takvih postupka je bilo u znatno manjem broju. </w:t>
      </w:r>
    </w:p>
    <w:p w14:paraId="5E34CFFF" w14:textId="77777777" w:rsidR="00494D1F" w:rsidRPr="00512BE3" w:rsidRDefault="00494D1F" w:rsidP="0034068B">
      <w:pPr>
        <w:jc w:val="both"/>
        <w:rPr>
          <w:sz w:val="22"/>
          <w:szCs w:val="22"/>
          <w:lang w:val="bs-Latn-BA" w:eastAsia="sr-Latn-CS"/>
        </w:rPr>
      </w:pPr>
    </w:p>
    <w:p w14:paraId="2B1C41C1" w14:textId="459A7D4B" w:rsidR="00AE127A" w:rsidRPr="00512BE3" w:rsidRDefault="006C40FC" w:rsidP="0095417A">
      <w:pPr>
        <w:ind w:firstLine="709"/>
        <w:jc w:val="both"/>
        <w:rPr>
          <w:sz w:val="22"/>
          <w:szCs w:val="22"/>
          <w:lang w:val="bs-Latn-BA" w:eastAsia="sr-Latn-CS"/>
        </w:rPr>
      </w:pPr>
      <w:r w:rsidRPr="00512BE3">
        <w:rPr>
          <w:sz w:val="22"/>
          <w:szCs w:val="22"/>
          <w:lang w:val="bs-Latn-BA" w:eastAsia="sr-Latn-CS"/>
        </w:rPr>
        <w:t xml:space="preserve">U izvještajnom periodu </w:t>
      </w:r>
      <w:r w:rsidR="0014608B" w:rsidRPr="00512BE3">
        <w:rPr>
          <w:sz w:val="22"/>
          <w:szCs w:val="22"/>
          <w:lang w:val="bs-Latn-BA" w:eastAsia="sr-Latn-CS"/>
        </w:rPr>
        <w:t xml:space="preserve">u postupku prinudne naplate zaprimljeno </w:t>
      </w:r>
      <w:r w:rsidR="008152AE" w:rsidRPr="00512BE3">
        <w:rPr>
          <w:sz w:val="22"/>
          <w:szCs w:val="22"/>
          <w:lang w:val="bs-Latn-BA" w:eastAsia="sr-Latn-CS"/>
        </w:rPr>
        <w:t>je ukupno 2</w:t>
      </w:r>
      <w:r w:rsidR="00E56C75" w:rsidRPr="00512BE3">
        <w:rPr>
          <w:sz w:val="22"/>
          <w:szCs w:val="22"/>
          <w:lang w:val="bs-Latn-BA" w:eastAsia="sr-Latn-CS"/>
        </w:rPr>
        <w:t>13</w:t>
      </w:r>
      <w:r w:rsidR="008152AE" w:rsidRPr="00512BE3">
        <w:rPr>
          <w:sz w:val="22"/>
          <w:szCs w:val="22"/>
          <w:lang w:val="bs-Latn-BA" w:eastAsia="sr-Latn-CS"/>
        </w:rPr>
        <w:t xml:space="preserve"> žalbi</w:t>
      </w:r>
      <w:r w:rsidR="00050B48">
        <w:rPr>
          <w:sz w:val="22"/>
          <w:szCs w:val="22"/>
          <w:lang w:val="bs-Latn-BA" w:eastAsia="sr-Latn-CS"/>
        </w:rPr>
        <w:t>, dok je</w:t>
      </w:r>
      <w:r w:rsidR="008152AE" w:rsidRPr="00512BE3">
        <w:rPr>
          <w:sz w:val="22"/>
          <w:szCs w:val="22"/>
          <w:lang w:val="bs-Latn-BA" w:eastAsia="sr-Latn-CS"/>
        </w:rPr>
        <w:t xml:space="preserve"> postupak vođen nad</w:t>
      </w:r>
      <w:r w:rsidR="00FE0D1B" w:rsidRPr="00512BE3">
        <w:rPr>
          <w:sz w:val="22"/>
          <w:szCs w:val="22"/>
          <w:lang w:val="bs-Latn-BA" w:eastAsia="sr-Latn-CS"/>
        </w:rPr>
        <w:t xml:space="preserve"> ukupno 2</w:t>
      </w:r>
      <w:r w:rsidR="00E56C75" w:rsidRPr="00512BE3">
        <w:rPr>
          <w:sz w:val="22"/>
          <w:szCs w:val="22"/>
          <w:lang w:val="bs-Latn-BA" w:eastAsia="sr-Latn-CS"/>
        </w:rPr>
        <w:t>90</w:t>
      </w:r>
      <w:r w:rsidR="00FE0D1B" w:rsidRPr="00512BE3">
        <w:rPr>
          <w:sz w:val="22"/>
          <w:szCs w:val="22"/>
          <w:lang w:val="bs-Latn-BA" w:eastAsia="sr-Latn-CS"/>
        </w:rPr>
        <w:t xml:space="preserve"> predmeta po žalbama</w:t>
      </w:r>
      <w:r w:rsidR="0014608B" w:rsidRPr="00512BE3">
        <w:rPr>
          <w:sz w:val="22"/>
          <w:szCs w:val="22"/>
          <w:lang w:val="bs-Latn-BA" w:eastAsia="sr-Latn-CS"/>
        </w:rPr>
        <w:t xml:space="preserve"> </w:t>
      </w:r>
      <w:r w:rsidR="00B86BCE" w:rsidRPr="001A2DBA">
        <w:rPr>
          <w:sz w:val="22"/>
          <w:szCs w:val="22"/>
          <w:lang w:val="bs-Latn-BA" w:eastAsia="sr-Latn-CS"/>
        </w:rPr>
        <w:t>(iz 2021</w:t>
      </w:r>
      <w:r w:rsidR="00E56C75" w:rsidRPr="001A2DBA">
        <w:rPr>
          <w:sz w:val="22"/>
          <w:szCs w:val="22"/>
          <w:lang w:val="bs-Latn-BA" w:eastAsia="sr-Latn-CS"/>
        </w:rPr>
        <w:t>. godine</w:t>
      </w:r>
      <w:r w:rsidR="00E56C75" w:rsidRPr="00512BE3">
        <w:rPr>
          <w:sz w:val="22"/>
          <w:szCs w:val="22"/>
          <w:lang w:val="bs-Latn-BA" w:eastAsia="sr-Latn-CS"/>
        </w:rPr>
        <w:t xml:space="preserve"> preneseno je 77</w:t>
      </w:r>
      <w:r w:rsidR="008152AE" w:rsidRPr="00512BE3">
        <w:rPr>
          <w:sz w:val="22"/>
          <w:szCs w:val="22"/>
          <w:lang w:val="bs-Latn-BA" w:eastAsia="sr-Latn-CS"/>
        </w:rPr>
        <w:t xml:space="preserve"> žalbi). Riješeno je </w:t>
      </w:r>
      <w:r w:rsidRPr="00512BE3">
        <w:rPr>
          <w:sz w:val="22"/>
          <w:szCs w:val="22"/>
          <w:lang w:val="bs-Latn-BA" w:eastAsia="sr-Latn-CS"/>
        </w:rPr>
        <w:t xml:space="preserve">ukupno </w:t>
      </w:r>
      <w:r w:rsidR="00E56C75" w:rsidRPr="00512BE3">
        <w:rPr>
          <w:sz w:val="22"/>
          <w:szCs w:val="22"/>
          <w:lang w:val="bs-Latn-BA" w:eastAsia="sr-Latn-CS"/>
        </w:rPr>
        <w:t>224</w:t>
      </w:r>
      <w:r w:rsidRPr="00512BE3">
        <w:rPr>
          <w:sz w:val="22"/>
          <w:szCs w:val="22"/>
          <w:lang w:val="bs-Latn-BA" w:eastAsia="sr-Latn-CS"/>
        </w:rPr>
        <w:t xml:space="preserve"> </w:t>
      </w:r>
      <w:r w:rsidR="0014608B" w:rsidRPr="00512BE3">
        <w:rPr>
          <w:sz w:val="22"/>
          <w:szCs w:val="22"/>
          <w:lang w:val="bs-Latn-BA" w:eastAsia="sr-Latn-CS"/>
        </w:rPr>
        <w:t>predmeta</w:t>
      </w:r>
      <w:r w:rsidRPr="00512BE3">
        <w:rPr>
          <w:sz w:val="22"/>
          <w:szCs w:val="22"/>
          <w:lang w:val="bs-Latn-BA" w:eastAsia="sr-Latn-CS"/>
        </w:rPr>
        <w:t xml:space="preserve"> (</w:t>
      </w:r>
      <w:r w:rsidR="00E56C75" w:rsidRPr="00512BE3">
        <w:rPr>
          <w:sz w:val="22"/>
          <w:szCs w:val="22"/>
          <w:lang w:val="bs-Latn-BA" w:eastAsia="sr-Latn-CS"/>
        </w:rPr>
        <w:t>odbijeno 162, uvaženo 56 žalbe, prekid postupka 3 žalbe, obustavljeno 2 žalbe, odbačena 1 žalba) i preneseno 66 predmeta u rad u 2023</w:t>
      </w:r>
      <w:r w:rsidRPr="00512BE3">
        <w:rPr>
          <w:sz w:val="22"/>
          <w:szCs w:val="22"/>
          <w:lang w:val="bs-Latn-BA" w:eastAsia="sr-Latn-CS"/>
        </w:rPr>
        <w:t xml:space="preserve">. godinu. </w:t>
      </w:r>
      <w:r w:rsidR="00FE0D1B" w:rsidRPr="001A2DBA">
        <w:rPr>
          <w:sz w:val="22"/>
          <w:szCs w:val="22"/>
          <w:lang w:val="bs-Latn-BA" w:eastAsia="sr-Latn-CS"/>
        </w:rPr>
        <w:t>U odnosu na 202</w:t>
      </w:r>
      <w:r w:rsidR="00E56C75" w:rsidRPr="001A2DBA">
        <w:rPr>
          <w:sz w:val="22"/>
          <w:szCs w:val="22"/>
          <w:lang w:val="bs-Latn-BA" w:eastAsia="sr-Latn-CS"/>
        </w:rPr>
        <w:t>1</w:t>
      </w:r>
      <w:r w:rsidR="00FE0D1B" w:rsidRPr="001A2DBA">
        <w:rPr>
          <w:sz w:val="22"/>
          <w:szCs w:val="22"/>
          <w:lang w:val="bs-Latn-BA" w:eastAsia="sr-Latn-CS"/>
        </w:rPr>
        <w:t xml:space="preserve">. godinu u kojoj je </w:t>
      </w:r>
      <w:r w:rsidR="00FE0D1B" w:rsidRPr="001A2DBA">
        <w:rPr>
          <w:sz w:val="22"/>
          <w:szCs w:val="22"/>
          <w:lang w:val="bs-Latn-BA" w:eastAsia="sr-Latn-CS"/>
        </w:rPr>
        <w:lastRenderedPageBreak/>
        <w:t xml:space="preserve">zaprimljeno </w:t>
      </w:r>
      <w:r w:rsidR="00E56C75" w:rsidRPr="001A2DBA">
        <w:rPr>
          <w:sz w:val="22"/>
          <w:szCs w:val="22"/>
          <w:lang w:val="bs-Latn-BA" w:eastAsia="sr-Latn-CS"/>
        </w:rPr>
        <w:t>239</w:t>
      </w:r>
      <w:r w:rsidR="00FE0D1B" w:rsidRPr="001A2DBA">
        <w:rPr>
          <w:sz w:val="22"/>
          <w:szCs w:val="22"/>
          <w:lang w:val="bs-Latn-BA" w:eastAsia="sr-Latn-CS"/>
        </w:rPr>
        <w:t xml:space="preserve"> žalbi </w:t>
      </w:r>
      <w:r w:rsidR="00E56C75" w:rsidRPr="001A2DBA">
        <w:rPr>
          <w:sz w:val="22"/>
          <w:szCs w:val="22"/>
          <w:lang w:val="bs-Latn-BA" w:eastAsia="sr-Latn-CS"/>
        </w:rPr>
        <w:t>smanjen je</w:t>
      </w:r>
      <w:r w:rsidR="00FE0D1B" w:rsidRPr="001A2DBA">
        <w:rPr>
          <w:sz w:val="22"/>
          <w:szCs w:val="22"/>
          <w:lang w:val="bs-Latn-BA" w:eastAsia="sr-Latn-CS"/>
        </w:rPr>
        <w:t xml:space="preserve"> broj žalbi u </w:t>
      </w:r>
      <w:r w:rsidR="008152AE" w:rsidRPr="001A2DBA">
        <w:rPr>
          <w:sz w:val="22"/>
          <w:szCs w:val="22"/>
          <w:lang w:val="bs-Latn-BA" w:eastAsia="sr-Latn-CS"/>
        </w:rPr>
        <w:t>izvještajnoj</w:t>
      </w:r>
      <w:r w:rsidR="00E56C75" w:rsidRPr="001A2DBA">
        <w:rPr>
          <w:sz w:val="22"/>
          <w:szCs w:val="22"/>
          <w:lang w:val="bs-Latn-BA" w:eastAsia="sr-Latn-CS"/>
        </w:rPr>
        <w:t xml:space="preserve"> godini (213</w:t>
      </w:r>
      <w:r w:rsidR="00FE0D1B" w:rsidRPr="001A2DBA">
        <w:rPr>
          <w:sz w:val="22"/>
          <w:szCs w:val="22"/>
          <w:lang w:val="bs-Latn-BA" w:eastAsia="sr-Latn-CS"/>
        </w:rPr>
        <w:t xml:space="preserve"> žalbi).</w:t>
      </w:r>
      <w:r w:rsidR="00FE0D1B" w:rsidRPr="00512BE3">
        <w:rPr>
          <w:sz w:val="22"/>
          <w:szCs w:val="22"/>
          <w:lang w:val="bs-Latn-BA" w:eastAsia="sr-Latn-CS"/>
        </w:rPr>
        <w:t xml:space="preserve"> </w:t>
      </w:r>
      <w:r w:rsidR="0014608B" w:rsidRPr="00512BE3">
        <w:rPr>
          <w:sz w:val="22"/>
          <w:szCs w:val="22"/>
          <w:lang w:val="bs-Latn-BA" w:eastAsia="sr-Latn-CS"/>
        </w:rPr>
        <w:t xml:space="preserve">Najčešći razlozi za izjavljivanje žalbi </w:t>
      </w:r>
      <w:r w:rsidRPr="00512BE3">
        <w:rPr>
          <w:sz w:val="22"/>
          <w:szCs w:val="22"/>
          <w:lang w:val="bs-Latn-BA" w:eastAsia="sr-Latn-CS"/>
        </w:rPr>
        <w:t>se odnosi na osnov nastanka duga, iznos duga ili se žalbom pokušavaju osporiti radnje koje su prethodile postupku prinudne naplate (razrez po kontroli), a ni</w:t>
      </w:r>
      <w:r w:rsidR="0014608B" w:rsidRPr="00512BE3">
        <w:rPr>
          <w:sz w:val="22"/>
          <w:szCs w:val="22"/>
          <w:lang w:val="bs-Latn-BA" w:eastAsia="sr-Latn-CS"/>
        </w:rPr>
        <w:t xml:space="preserve">su osporavane u tim postupcima i na </w:t>
      </w:r>
      <w:r w:rsidRPr="00512BE3">
        <w:rPr>
          <w:sz w:val="22"/>
          <w:szCs w:val="22"/>
          <w:lang w:val="bs-Latn-BA" w:eastAsia="sr-Latn-CS"/>
        </w:rPr>
        <w:t>kreiranje naknadnih tereta prinudne nakon isteka redovn</w:t>
      </w:r>
      <w:r w:rsidR="009212B2" w:rsidRPr="00512BE3">
        <w:rPr>
          <w:sz w:val="22"/>
          <w:szCs w:val="22"/>
          <w:lang w:val="bs-Latn-BA" w:eastAsia="sr-Latn-CS"/>
        </w:rPr>
        <w:t xml:space="preserve">og roka plaćanja i </w:t>
      </w:r>
      <w:r w:rsidRPr="00512BE3">
        <w:rPr>
          <w:sz w:val="22"/>
          <w:szCs w:val="22"/>
          <w:lang w:val="bs-Latn-BA" w:eastAsia="sr-Latn-CS"/>
        </w:rPr>
        <w:t xml:space="preserve">zbog grešaka prilikom plaćanja </w:t>
      </w:r>
      <w:r w:rsidR="00AE127A" w:rsidRPr="00512BE3">
        <w:rPr>
          <w:sz w:val="22"/>
          <w:szCs w:val="22"/>
          <w:lang w:val="bs-Latn-BA" w:eastAsia="sr-Latn-CS"/>
        </w:rPr>
        <w:t xml:space="preserve">prijavljenih obaveza obveznika. </w:t>
      </w:r>
      <w:r w:rsidRPr="00512BE3">
        <w:rPr>
          <w:sz w:val="22"/>
          <w:szCs w:val="22"/>
          <w:lang w:val="bs-Latn-BA" w:eastAsia="sr-Latn-CS"/>
        </w:rPr>
        <w:t>U</w:t>
      </w:r>
      <w:r w:rsidR="00AE127A" w:rsidRPr="00512BE3">
        <w:rPr>
          <w:sz w:val="22"/>
          <w:szCs w:val="22"/>
          <w:lang w:val="bs-Latn-BA" w:eastAsia="sr-Latn-CS"/>
        </w:rPr>
        <w:t xml:space="preserve"> UIO je prisutan nedostatak potrebnog broja izvršilaca za obavljanje poslova odlučivanja po žalbama u postupku prinudne naplate, s obzirom da ove poslove trenutno obavlja jedan stručni savjetnik za prinudnu naplatu.</w:t>
      </w:r>
    </w:p>
    <w:p w14:paraId="355FE18E" w14:textId="7072FD87" w:rsidR="00853DC4" w:rsidRPr="00512BE3" w:rsidRDefault="00FE0D1B" w:rsidP="0095417A">
      <w:pPr>
        <w:ind w:firstLine="709"/>
        <w:jc w:val="both"/>
        <w:rPr>
          <w:sz w:val="22"/>
          <w:szCs w:val="22"/>
          <w:lang w:eastAsia="sr-Latn-CS"/>
        </w:rPr>
      </w:pPr>
      <w:r w:rsidRPr="00512BE3">
        <w:rPr>
          <w:sz w:val="22"/>
          <w:szCs w:val="22"/>
          <w:lang w:val="bs-Latn-BA" w:eastAsia="sr-Latn-CS"/>
        </w:rPr>
        <w:t xml:space="preserve">U izvještajnom periodu </w:t>
      </w:r>
      <w:r w:rsidR="00801BA1" w:rsidRPr="00512BE3">
        <w:rPr>
          <w:sz w:val="22"/>
          <w:szCs w:val="22"/>
          <w:lang w:eastAsia="sr-Latn-CS"/>
        </w:rPr>
        <w:t>organizacione jedinice za prinudnu naplatu</w:t>
      </w:r>
      <w:r w:rsidRPr="00512BE3">
        <w:rPr>
          <w:sz w:val="22"/>
          <w:szCs w:val="22"/>
          <w:lang w:eastAsia="sr-Latn-CS"/>
        </w:rPr>
        <w:t xml:space="preserve"> su</w:t>
      </w:r>
      <w:r w:rsidR="00801BA1" w:rsidRPr="00512BE3">
        <w:rPr>
          <w:sz w:val="22"/>
          <w:szCs w:val="22"/>
          <w:lang w:eastAsia="sr-Latn-CS"/>
        </w:rPr>
        <w:t xml:space="preserve"> provodile </w:t>
      </w:r>
      <w:r w:rsidRPr="00512BE3">
        <w:rPr>
          <w:sz w:val="22"/>
          <w:szCs w:val="22"/>
          <w:lang w:eastAsia="sr-Latn-CS"/>
        </w:rPr>
        <w:t xml:space="preserve">i </w:t>
      </w:r>
      <w:r w:rsidR="00801BA1" w:rsidRPr="00512BE3">
        <w:rPr>
          <w:sz w:val="22"/>
          <w:szCs w:val="22"/>
          <w:lang w:eastAsia="sr-Latn-CS"/>
        </w:rPr>
        <w:t>upravn</w:t>
      </w:r>
      <w:r w:rsidR="00AE127A" w:rsidRPr="00512BE3">
        <w:rPr>
          <w:sz w:val="22"/>
          <w:szCs w:val="22"/>
          <w:lang w:eastAsia="sr-Latn-CS"/>
        </w:rPr>
        <w:t>e</w:t>
      </w:r>
      <w:r w:rsidR="00801BA1" w:rsidRPr="00512BE3">
        <w:rPr>
          <w:sz w:val="22"/>
          <w:szCs w:val="22"/>
          <w:lang w:eastAsia="sr-Latn-CS"/>
        </w:rPr>
        <w:t xml:space="preserve"> po</w:t>
      </w:r>
      <w:r w:rsidRPr="00512BE3">
        <w:rPr>
          <w:sz w:val="22"/>
          <w:szCs w:val="22"/>
          <w:lang w:eastAsia="sr-Latn-CS"/>
        </w:rPr>
        <w:t>stup</w:t>
      </w:r>
      <w:r w:rsidR="00AE127A" w:rsidRPr="00512BE3">
        <w:rPr>
          <w:sz w:val="22"/>
          <w:szCs w:val="22"/>
          <w:lang w:eastAsia="sr-Latn-CS"/>
        </w:rPr>
        <w:t>ke</w:t>
      </w:r>
      <w:r w:rsidRPr="00512BE3">
        <w:rPr>
          <w:sz w:val="22"/>
          <w:szCs w:val="22"/>
          <w:lang w:eastAsia="sr-Latn-CS"/>
        </w:rPr>
        <w:t xml:space="preserve"> po zahtjevu stranaka </w:t>
      </w:r>
      <w:r w:rsidR="00801BA1" w:rsidRPr="00512BE3">
        <w:rPr>
          <w:sz w:val="22"/>
          <w:szCs w:val="22"/>
          <w:lang w:eastAsia="sr-Latn-CS"/>
        </w:rPr>
        <w:t>za prihvat bjanko trasiranih mjenica kao sredstva osiguranja naplate carinskog duga po osnovu Lohn-poslova</w:t>
      </w:r>
      <w:r w:rsidRPr="00512BE3">
        <w:rPr>
          <w:sz w:val="22"/>
          <w:szCs w:val="22"/>
          <w:lang w:eastAsia="sr-Latn-CS"/>
        </w:rPr>
        <w:t>,</w:t>
      </w:r>
      <w:r w:rsidR="00801BA1" w:rsidRPr="00512BE3">
        <w:rPr>
          <w:sz w:val="22"/>
          <w:szCs w:val="22"/>
          <w:lang w:eastAsia="sr-Latn-CS"/>
        </w:rPr>
        <w:t xml:space="preserve"> zaprimljeno</w:t>
      </w:r>
      <w:r w:rsidRPr="00512BE3">
        <w:rPr>
          <w:sz w:val="22"/>
          <w:szCs w:val="22"/>
          <w:lang w:eastAsia="sr-Latn-CS"/>
        </w:rPr>
        <w:t xml:space="preserve"> je</w:t>
      </w:r>
      <w:r w:rsidR="00801BA1" w:rsidRPr="00512BE3">
        <w:rPr>
          <w:sz w:val="22"/>
          <w:szCs w:val="22"/>
          <w:lang w:eastAsia="sr-Latn-CS"/>
        </w:rPr>
        <w:t xml:space="preserve"> i riješeno </w:t>
      </w:r>
      <w:r w:rsidR="00781B78" w:rsidRPr="00512BE3">
        <w:rPr>
          <w:sz w:val="22"/>
          <w:szCs w:val="22"/>
          <w:lang w:eastAsia="sr-Latn-CS"/>
        </w:rPr>
        <w:t>14</w:t>
      </w:r>
      <w:r w:rsidR="00801BA1" w:rsidRPr="00512BE3">
        <w:rPr>
          <w:sz w:val="22"/>
          <w:szCs w:val="22"/>
          <w:lang w:eastAsia="sr-Latn-CS"/>
        </w:rPr>
        <w:t xml:space="preserve"> zahtjeva (svi uvaženi), po zahtjevu za korištenje sveobuhvatne garancije na niži iznos za obezbjeđenje plaćanja indirektnih poreza u carinskom postupku unutrašnje obrade zaprimljeno</w:t>
      </w:r>
      <w:r w:rsidRPr="00512BE3">
        <w:rPr>
          <w:sz w:val="22"/>
          <w:szCs w:val="22"/>
          <w:lang w:eastAsia="sr-Latn-CS"/>
        </w:rPr>
        <w:t xml:space="preserve"> su</w:t>
      </w:r>
      <w:r w:rsidR="00801BA1" w:rsidRPr="00512BE3">
        <w:rPr>
          <w:sz w:val="22"/>
          <w:szCs w:val="22"/>
          <w:lang w:eastAsia="sr-Latn-CS"/>
        </w:rPr>
        <w:t xml:space="preserve"> </w:t>
      </w:r>
      <w:r w:rsidR="00781B78" w:rsidRPr="00512BE3">
        <w:rPr>
          <w:sz w:val="22"/>
          <w:szCs w:val="22"/>
          <w:lang w:eastAsia="sr-Latn-CS"/>
        </w:rPr>
        <w:t>tri</w:t>
      </w:r>
      <w:r w:rsidRPr="00512BE3">
        <w:rPr>
          <w:sz w:val="22"/>
          <w:szCs w:val="22"/>
          <w:lang w:eastAsia="sr-Latn-CS"/>
        </w:rPr>
        <w:t xml:space="preserve"> zahtjeva (</w:t>
      </w:r>
      <w:r w:rsidR="00781B78" w:rsidRPr="00512BE3">
        <w:rPr>
          <w:sz w:val="22"/>
          <w:szCs w:val="22"/>
          <w:lang w:eastAsia="sr-Latn-CS"/>
        </w:rPr>
        <w:t>1 uvažen; 1 odbijen i 1 zahtjev prenesen u 2023. godinu</w:t>
      </w:r>
      <w:r w:rsidRPr="00512BE3">
        <w:rPr>
          <w:sz w:val="22"/>
          <w:szCs w:val="22"/>
          <w:lang w:eastAsia="sr-Latn-CS"/>
        </w:rPr>
        <w:t>).Takođe, postupano je</w:t>
      </w:r>
      <w:r w:rsidR="00801BA1" w:rsidRPr="00512BE3">
        <w:rPr>
          <w:sz w:val="22"/>
          <w:szCs w:val="22"/>
          <w:lang w:eastAsia="sr-Latn-CS"/>
        </w:rPr>
        <w:t xml:space="preserve"> po zahtjevu za odgođeno plaćanje i plaćanje duga u ratama u redovnom periodu i periodu prinudne naplate</w:t>
      </w:r>
      <w:r w:rsidRPr="00512BE3">
        <w:rPr>
          <w:sz w:val="22"/>
          <w:szCs w:val="22"/>
          <w:lang w:eastAsia="sr-Latn-CS"/>
        </w:rPr>
        <w:t xml:space="preserve"> i</w:t>
      </w:r>
      <w:r w:rsidR="00801BA1" w:rsidRPr="00512BE3">
        <w:rPr>
          <w:sz w:val="22"/>
          <w:szCs w:val="22"/>
          <w:lang w:eastAsia="sr-Latn-CS"/>
        </w:rPr>
        <w:t xml:space="preserve"> zaprimljeno </w:t>
      </w:r>
      <w:r w:rsidRPr="00512BE3">
        <w:rPr>
          <w:sz w:val="22"/>
          <w:szCs w:val="22"/>
          <w:lang w:eastAsia="sr-Latn-CS"/>
        </w:rPr>
        <w:t xml:space="preserve">je </w:t>
      </w:r>
      <w:r w:rsidR="00801BA1" w:rsidRPr="00512BE3">
        <w:rPr>
          <w:sz w:val="22"/>
          <w:szCs w:val="22"/>
          <w:lang w:eastAsia="sr-Latn-CS"/>
        </w:rPr>
        <w:t xml:space="preserve">ukupno </w:t>
      </w:r>
      <w:r w:rsidR="00334586" w:rsidRPr="00512BE3">
        <w:rPr>
          <w:sz w:val="22"/>
          <w:szCs w:val="22"/>
          <w:lang w:eastAsia="sr-Latn-CS"/>
        </w:rPr>
        <w:t>1</w:t>
      </w:r>
      <w:r w:rsidR="00E17D9B" w:rsidRPr="00512BE3">
        <w:rPr>
          <w:sz w:val="22"/>
          <w:szCs w:val="22"/>
          <w:lang w:eastAsia="sr-Latn-CS"/>
        </w:rPr>
        <w:t>74</w:t>
      </w:r>
      <w:r w:rsidR="00801BA1" w:rsidRPr="00512BE3">
        <w:rPr>
          <w:sz w:val="22"/>
          <w:szCs w:val="22"/>
          <w:lang w:eastAsia="sr-Latn-CS"/>
        </w:rPr>
        <w:t xml:space="preserve"> zahtjeva </w:t>
      </w:r>
      <w:r w:rsidR="00AE127A" w:rsidRPr="00512BE3">
        <w:rPr>
          <w:sz w:val="22"/>
          <w:szCs w:val="22"/>
          <w:lang w:eastAsia="sr-Latn-CS"/>
        </w:rPr>
        <w:t>od</w:t>
      </w:r>
      <w:r w:rsidRPr="00512BE3">
        <w:rPr>
          <w:sz w:val="22"/>
          <w:szCs w:val="22"/>
          <w:lang w:eastAsia="sr-Latn-CS"/>
        </w:rPr>
        <w:t xml:space="preserve"> čega je </w:t>
      </w:r>
      <w:r w:rsidR="00E17D9B" w:rsidRPr="00512BE3">
        <w:rPr>
          <w:sz w:val="22"/>
          <w:szCs w:val="22"/>
          <w:lang w:eastAsia="sr-Latn-CS"/>
        </w:rPr>
        <w:t>111</w:t>
      </w:r>
      <w:r w:rsidR="00801BA1" w:rsidRPr="00512BE3">
        <w:rPr>
          <w:sz w:val="22"/>
          <w:szCs w:val="22"/>
          <w:lang w:eastAsia="sr-Latn-CS"/>
        </w:rPr>
        <w:t xml:space="preserve"> zahtjeva</w:t>
      </w:r>
      <w:r w:rsidR="00AF1747" w:rsidRPr="00512BE3">
        <w:rPr>
          <w:sz w:val="22"/>
          <w:szCs w:val="22"/>
          <w:lang w:eastAsia="sr-Latn-CS"/>
        </w:rPr>
        <w:t xml:space="preserve"> uvaženo, </w:t>
      </w:r>
      <w:r w:rsidR="00526B4A" w:rsidRPr="00512BE3">
        <w:rPr>
          <w:sz w:val="22"/>
          <w:szCs w:val="22"/>
          <w:lang w:eastAsia="sr-Latn-CS"/>
        </w:rPr>
        <w:t>dok je</w:t>
      </w:r>
      <w:r w:rsidR="00AF1747" w:rsidRPr="00512BE3">
        <w:rPr>
          <w:sz w:val="22"/>
          <w:szCs w:val="22"/>
          <w:lang w:eastAsia="sr-Latn-CS"/>
        </w:rPr>
        <w:t xml:space="preserve"> </w:t>
      </w:r>
      <w:r w:rsidR="00E17D9B" w:rsidRPr="00512BE3">
        <w:rPr>
          <w:sz w:val="22"/>
          <w:szCs w:val="22"/>
          <w:lang w:eastAsia="sr-Latn-CS"/>
        </w:rPr>
        <w:t xml:space="preserve">7 zahtjeva </w:t>
      </w:r>
      <w:r w:rsidR="00AF1747" w:rsidRPr="00512BE3">
        <w:rPr>
          <w:sz w:val="22"/>
          <w:szCs w:val="22"/>
          <w:lang w:eastAsia="sr-Latn-CS"/>
        </w:rPr>
        <w:t>preneseno u rad u</w:t>
      </w:r>
      <w:r w:rsidR="00E17D9B" w:rsidRPr="00512BE3">
        <w:rPr>
          <w:sz w:val="22"/>
          <w:szCs w:val="22"/>
          <w:lang w:eastAsia="sr-Latn-CS"/>
        </w:rPr>
        <w:t xml:space="preserve"> 2023</w:t>
      </w:r>
      <w:r w:rsidR="00801BA1" w:rsidRPr="00512BE3">
        <w:rPr>
          <w:sz w:val="22"/>
          <w:szCs w:val="22"/>
          <w:lang w:eastAsia="sr-Latn-CS"/>
        </w:rPr>
        <w:t>. godinu</w:t>
      </w:r>
      <w:r w:rsidR="00AF1747" w:rsidRPr="00512BE3">
        <w:rPr>
          <w:sz w:val="22"/>
          <w:szCs w:val="22"/>
          <w:lang w:eastAsia="sr-Latn-CS"/>
        </w:rPr>
        <w:t>.</w:t>
      </w:r>
      <w:r w:rsidR="00801BA1" w:rsidRPr="00512BE3">
        <w:rPr>
          <w:sz w:val="22"/>
          <w:szCs w:val="22"/>
          <w:lang w:eastAsia="sr-Latn-CS"/>
        </w:rPr>
        <w:t xml:space="preserve"> U toku 202</w:t>
      </w:r>
      <w:r w:rsidR="00E17D9B" w:rsidRPr="00512BE3">
        <w:rPr>
          <w:sz w:val="22"/>
          <w:szCs w:val="22"/>
          <w:lang w:eastAsia="sr-Latn-CS"/>
        </w:rPr>
        <w:t>2</w:t>
      </w:r>
      <w:r w:rsidR="00801BA1" w:rsidRPr="00512BE3">
        <w:rPr>
          <w:sz w:val="22"/>
          <w:szCs w:val="22"/>
          <w:lang w:eastAsia="sr-Latn-CS"/>
        </w:rPr>
        <w:t>. godine smanjen</w:t>
      </w:r>
      <w:r w:rsidR="00E17D9B" w:rsidRPr="00512BE3">
        <w:rPr>
          <w:sz w:val="22"/>
          <w:szCs w:val="22"/>
          <w:lang w:eastAsia="sr-Latn-CS"/>
        </w:rPr>
        <w:t xml:space="preserve"> je</w:t>
      </w:r>
      <w:r w:rsidR="00801BA1" w:rsidRPr="00512BE3">
        <w:rPr>
          <w:sz w:val="22"/>
          <w:szCs w:val="22"/>
          <w:lang w:eastAsia="sr-Latn-CS"/>
        </w:rPr>
        <w:t xml:space="preserve"> broj zahtjeva za odgođeno/plaćanje duga u ratama u </w:t>
      </w:r>
      <w:r w:rsidR="00AE127A" w:rsidRPr="00512BE3">
        <w:rPr>
          <w:sz w:val="22"/>
          <w:szCs w:val="22"/>
          <w:lang w:eastAsia="sr-Latn-CS"/>
        </w:rPr>
        <w:t xml:space="preserve">odnosu na </w:t>
      </w:r>
      <w:r w:rsidR="00E17D9B" w:rsidRPr="00512BE3">
        <w:rPr>
          <w:sz w:val="22"/>
          <w:szCs w:val="22"/>
          <w:lang w:eastAsia="sr-Latn-CS"/>
        </w:rPr>
        <w:t>2021</w:t>
      </w:r>
      <w:r w:rsidR="00801BA1" w:rsidRPr="00512BE3">
        <w:rPr>
          <w:sz w:val="22"/>
          <w:szCs w:val="22"/>
          <w:lang w:eastAsia="sr-Latn-CS"/>
        </w:rPr>
        <w:t xml:space="preserve">. </w:t>
      </w:r>
      <w:r w:rsidR="00AE127A" w:rsidRPr="00512BE3">
        <w:rPr>
          <w:sz w:val="22"/>
          <w:szCs w:val="22"/>
          <w:lang w:eastAsia="sr-Latn-CS"/>
        </w:rPr>
        <w:t>g</w:t>
      </w:r>
      <w:r w:rsidR="00801BA1" w:rsidRPr="00512BE3">
        <w:rPr>
          <w:sz w:val="22"/>
          <w:szCs w:val="22"/>
          <w:lang w:eastAsia="sr-Latn-CS"/>
        </w:rPr>
        <w:t>odin</w:t>
      </w:r>
      <w:r w:rsidR="00AE127A" w:rsidRPr="00512BE3">
        <w:rPr>
          <w:sz w:val="22"/>
          <w:szCs w:val="22"/>
          <w:lang w:eastAsia="sr-Latn-CS"/>
        </w:rPr>
        <w:t>u kada je postupano po ukupno</w:t>
      </w:r>
      <w:r w:rsidR="00801BA1" w:rsidRPr="00512BE3">
        <w:rPr>
          <w:sz w:val="22"/>
          <w:szCs w:val="22"/>
          <w:lang w:eastAsia="sr-Latn-CS"/>
        </w:rPr>
        <w:t xml:space="preserve"> </w:t>
      </w:r>
      <w:r w:rsidR="00E17D9B" w:rsidRPr="00512BE3">
        <w:rPr>
          <w:sz w:val="22"/>
          <w:szCs w:val="22"/>
          <w:lang w:eastAsia="sr-Latn-CS"/>
        </w:rPr>
        <w:t>223</w:t>
      </w:r>
      <w:r w:rsidR="00801BA1" w:rsidRPr="00512BE3">
        <w:rPr>
          <w:sz w:val="22"/>
          <w:szCs w:val="22"/>
          <w:lang w:eastAsia="sr-Latn-CS"/>
        </w:rPr>
        <w:t xml:space="preserve"> zahtjeva</w:t>
      </w:r>
      <w:r w:rsidR="008152AE" w:rsidRPr="00512BE3">
        <w:rPr>
          <w:sz w:val="22"/>
          <w:szCs w:val="22"/>
          <w:lang w:eastAsia="sr-Latn-CS"/>
        </w:rPr>
        <w:t>.</w:t>
      </w:r>
      <w:r w:rsidR="00801BA1" w:rsidRPr="00512BE3">
        <w:rPr>
          <w:sz w:val="22"/>
          <w:szCs w:val="22"/>
          <w:lang w:eastAsia="sr-Latn-CS"/>
        </w:rPr>
        <w:t xml:space="preserve"> Najčešći razlozi za podnošenje zahtjeva za odgođeno/plaćanje duga u ratama odnosi se na </w:t>
      </w:r>
      <w:r w:rsidR="00526B4A" w:rsidRPr="00512BE3">
        <w:rPr>
          <w:sz w:val="22"/>
          <w:szCs w:val="22"/>
          <w:lang w:eastAsia="sr-Latn-CS"/>
        </w:rPr>
        <w:t>i dalje aktuelnu</w:t>
      </w:r>
      <w:r w:rsidR="00801BA1" w:rsidRPr="00512BE3">
        <w:rPr>
          <w:sz w:val="22"/>
          <w:szCs w:val="22"/>
          <w:lang w:eastAsia="sr-Latn-CS"/>
        </w:rPr>
        <w:t xml:space="preserve"> ekonomsk</w:t>
      </w:r>
      <w:r w:rsidR="00526B4A" w:rsidRPr="00512BE3">
        <w:rPr>
          <w:sz w:val="22"/>
          <w:szCs w:val="22"/>
          <w:lang w:eastAsia="sr-Latn-CS"/>
        </w:rPr>
        <w:t xml:space="preserve">u situaciju izazvanu pandemijom </w:t>
      </w:r>
      <w:r w:rsidR="00363443" w:rsidRPr="00512BE3">
        <w:rPr>
          <w:sz w:val="22"/>
          <w:szCs w:val="22"/>
          <w:lang w:eastAsia="sr-Latn-CS"/>
        </w:rPr>
        <w:t>korona virusa</w:t>
      </w:r>
      <w:r w:rsidR="00526B4A" w:rsidRPr="00512BE3">
        <w:rPr>
          <w:sz w:val="22"/>
          <w:szCs w:val="22"/>
          <w:lang w:eastAsia="sr-Latn-CS"/>
        </w:rPr>
        <w:t xml:space="preserve"> </w:t>
      </w:r>
      <w:r w:rsidR="008152AE" w:rsidRPr="00512BE3">
        <w:rPr>
          <w:sz w:val="22"/>
          <w:szCs w:val="22"/>
          <w:lang w:eastAsia="sr-Latn-CS"/>
        </w:rPr>
        <w:t>koja</w:t>
      </w:r>
      <w:r w:rsidR="00801BA1" w:rsidRPr="00512BE3">
        <w:rPr>
          <w:sz w:val="22"/>
          <w:szCs w:val="22"/>
          <w:lang w:eastAsia="sr-Latn-CS"/>
        </w:rPr>
        <w:t xml:space="preserve"> je </w:t>
      </w:r>
      <w:r w:rsidR="008152AE" w:rsidRPr="00512BE3">
        <w:rPr>
          <w:sz w:val="22"/>
          <w:szCs w:val="22"/>
          <w:lang w:eastAsia="sr-Latn-CS"/>
        </w:rPr>
        <w:t>dovela do</w:t>
      </w:r>
      <w:r w:rsidR="00801BA1" w:rsidRPr="00512BE3">
        <w:rPr>
          <w:sz w:val="22"/>
          <w:szCs w:val="22"/>
          <w:lang w:eastAsia="sr-Latn-CS"/>
        </w:rPr>
        <w:t xml:space="preserve"> otežano</w:t>
      </w:r>
      <w:r w:rsidR="008152AE" w:rsidRPr="00512BE3">
        <w:rPr>
          <w:sz w:val="22"/>
          <w:szCs w:val="22"/>
          <w:lang w:eastAsia="sr-Latn-CS"/>
        </w:rPr>
        <w:t>g</w:t>
      </w:r>
      <w:r w:rsidR="00801BA1" w:rsidRPr="00512BE3">
        <w:rPr>
          <w:sz w:val="22"/>
          <w:szCs w:val="22"/>
          <w:lang w:eastAsia="sr-Latn-CS"/>
        </w:rPr>
        <w:t xml:space="preserve"> poslovanj</w:t>
      </w:r>
      <w:r w:rsidR="008152AE" w:rsidRPr="00512BE3">
        <w:rPr>
          <w:sz w:val="22"/>
          <w:szCs w:val="22"/>
          <w:lang w:eastAsia="sr-Latn-CS"/>
        </w:rPr>
        <w:t>a</w:t>
      </w:r>
      <w:r w:rsidR="00801BA1" w:rsidRPr="00512BE3">
        <w:rPr>
          <w:sz w:val="22"/>
          <w:szCs w:val="22"/>
          <w:lang w:eastAsia="sr-Latn-CS"/>
        </w:rPr>
        <w:t xml:space="preserve"> privrednih subjekata, pa i plaćanje obaveza po osnovu poreza na dodatu vrijednost. Dosadašnja iskustva u primjeni ovih instituta prinudne naplate pokazuju da značajan broj dužnika ne poštuje rokove za plaćanje, a problem predstavlja otežano namirenje duga prodajom u izvršnom postupku koji provode sudovi.</w:t>
      </w:r>
    </w:p>
    <w:p w14:paraId="3A5CD5E2" w14:textId="473714FC" w:rsidR="005E4711" w:rsidRPr="00512BE3" w:rsidRDefault="00853DC4" w:rsidP="0095417A">
      <w:pPr>
        <w:ind w:firstLine="709"/>
        <w:jc w:val="both"/>
        <w:rPr>
          <w:sz w:val="22"/>
          <w:szCs w:val="22"/>
          <w:lang w:val="bs-Latn-BA"/>
        </w:rPr>
      </w:pPr>
      <w:r w:rsidRPr="00512BE3">
        <w:rPr>
          <w:sz w:val="22"/>
          <w:szCs w:val="22"/>
          <w:lang w:val="bs-Latn-BA"/>
        </w:rPr>
        <w:t>U izvještajnom periodu podnesen</w:t>
      </w:r>
      <w:r w:rsidR="00363443" w:rsidRPr="00512BE3">
        <w:rPr>
          <w:sz w:val="22"/>
          <w:szCs w:val="22"/>
          <w:lang w:val="bs-Latn-BA"/>
        </w:rPr>
        <w:t xml:space="preserve"> je </w:t>
      </w:r>
      <w:r w:rsidRPr="00512BE3">
        <w:rPr>
          <w:sz w:val="22"/>
          <w:szCs w:val="22"/>
          <w:lang w:val="bs-Latn-BA"/>
        </w:rPr>
        <w:t>21 prijedlog</w:t>
      </w:r>
      <w:r w:rsidR="00363443" w:rsidRPr="00512BE3">
        <w:rPr>
          <w:sz w:val="22"/>
          <w:szCs w:val="22"/>
          <w:lang w:val="bs-Latn-BA"/>
        </w:rPr>
        <w:t xml:space="preserve"> za pokretanje izvršnih postupaka kod nadležnih sudova za ukupan iznos duga od </w:t>
      </w:r>
      <w:r w:rsidR="00E17D9B" w:rsidRPr="00512BE3">
        <w:rPr>
          <w:sz w:val="22"/>
          <w:szCs w:val="22"/>
          <w:lang w:val="bs-Latn-BA"/>
        </w:rPr>
        <w:t xml:space="preserve">4.036.059,83 </w:t>
      </w:r>
      <w:r w:rsidRPr="00512BE3">
        <w:rPr>
          <w:sz w:val="22"/>
          <w:szCs w:val="22"/>
          <w:lang w:val="bs-Latn-BA"/>
        </w:rPr>
        <w:t xml:space="preserve"> KM</w:t>
      </w:r>
      <w:r w:rsidR="00494D1F" w:rsidRPr="00512BE3">
        <w:rPr>
          <w:sz w:val="22"/>
          <w:szCs w:val="22"/>
          <w:lang w:val="bs-Latn-BA"/>
        </w:rPr>
        <w:t>.</w:t>
      </w:r>
    </w:p>
    <w:p w14:paraId="16861C04" w14:textId="77777777" w:rsidR="00801BA1" w:rsidRPr="00512BE3" w:rsidRDefault="00E14187" w:rsidP="0095417A">
      <w:pPr>
        <w:ind w:firstLine="709"/>
        <w:jc w:val="both"/>
        <w:rPr>
          <w:sz w:val="22"/>
          <w:szCs w:val="22"/>
          <w:lang w:eastAsia="sr-Latn-CS"/>
        </w:rPr>
      </w:pPr>
      <w:r w:rsidRPr="00512BE3">
        <w:rPr>
          <w:sz w:val="22"/>
          <w:szCs w:val="22"/>
          <w:lang w:eastAsia="sr-Latn-CS"/>
        </w:rPr>
        <w:t xml:space="preserve">Prema raspoloživim podacima preuzetim iz informacionog podsistema ISOP, po osnovu neplaćenih novčanih kazni, evidentirano je ukupno </w:t>
      </w:r>
      <w:r w:rsidRPr="00512BE3">
        <w:rPr>
          <w:sz w:val="22"/>
          <w:szCs w:val="22"/>
          <w:lang w:val="bs-Latn-BA"/>
        </w:rPr>
        <w:t>duga u iznosu od 37.795.730,92 KM.</w:t>
      </w:r>
      <w:r w:rsidRPr="00512BE3">
        <w:rPr>
          <w:sz w:val="22"/>
          <w:szCs w:val="22"/>
          <w:lang w:eastAsia="sr-Latn-CS"/>
        </w:rPr>
        <w:t xml:space="preserve"> </w:t>
      </w:r>
      <w:r w:rsidR="00363443" w:rsidRPr="00512BE3">
        <w:rPr>
          <w:sz w:val="22"/>
          <w:szCs w:val="22"/>
          <w:lang w:eastAsia="sr-Latn-CS"/>
        </w:rPr>
        <w:t>Organizacione jedinice</w:t>
      </w:r>
      <w:r w:rsidR="00801BA1" w:rsidRPr="00512BE3">
        <w:rPr>
          <w:sz w:val="22"/>
          <w:szCs w:val="22"/>
          <w:lang w:eastAsia="sr-Latn-CS"/>
        </w:rPr>
        <w:t xml:space="preserve"> za prinudnu naplatu zaprimaju veliki broj izvještaja o dugu </w:t>
      </w:r>
      <w:r w:rsidR="00AF1747" w:rsidRPr="00512BE3">
        <w:rPr>
          <w:sz w:val="22"/>
          <w:szCs w:val="22"/>
          <w:lang w:eastAsia="sr-Latn-CS"/>
        </w:rPr>
        <w:t xml:space="preserve">radi naplate novčanih kazni po </w:t>
      </w:r>
      <w:r w:rsidR="00801BA1" w:rsidRPr="00512BE3">
        <w:rPr>
          <w:sz w:val="22"/>
          <w:szCs w:val="22"/>
          <w:lang w:eastAsia="sr-Latn-CS"/>
        </w:rPr>
        <w:t>prekršaj</w:t>
      </w:r>
      <w:r w:rsidR="00AF1747" w:rsidRPr="00512BE3">
        <w:rPr>
          <w:sz w:val="22"/>
          <w:szCs w:val="22"/>
          <w:lang w:eastAsia="sr-Latn-CS"/>
        </w:rPr>
        <w:t>ima zbog</w:t>
      </w:r>
      <w:r w:rsidR="00801BA1" w:rsidRPr="00512BE3">
        <w:rPr>
          <w:sz w:val="22"/>
          <w:szCs w:val="22"/>
          <w:lang w:eastAsia="sr-Latn-CS"/>
        </w:rPr>
        <w:t xml:space="preserve"> nepodnošenja prijava samooporezivanja do 10-tog u mjesecu. U ukupnom broju predmeta prinudne naplate novčanih kazni</w:t>
      </w:r>
      <w:r w:rsidR="00213742" w:rsidRPr="00512BE3">
        <w:rPr>
          <w:sz w:val="22"/>
          <w:szCs w:val="22"/>
          <w:lang w:val="bs-Latn-BA"/>
        </w:rPr>
        <w:t xml:space="preserve"> </w:t>
      </w:r>
      <w:r w:rsidR="00363443" w:rsidRPr="00512BE3">
        <w:rPr>
          <w:sz w:val="22"/>
          <w:szCs w:val="22"/>
          <w:lang w:eastAsia="sr-Latn-CS"/>
        </w:rPr>
        <w:t>izrečenih</w:t>
      </w:r>
      <w:r w:rsidR="00956DAF" w:rsidRPr="00512BE3">
        <w:rPr>
          <w:sz w:val="22"/>
          <w:szCs w:val="22"/>
          <w:lang w:eastAsia="sr-Latn-CS"/>
        </w:rPr>
        <w:t xml:space="preserve"> u toku 2022</w:t>
      </w:r>
      <w:r w:rsidR="00801BA1" w:rsidRPr="00512BE3">
        <w:rPr>
          <w:sz w:val="22"/>
          <w:szCs w:val="22"/>
          <w:lang w:eastAsia="sr-Latn-CS"/>
        </w:rPr>
        <w:t xml:space="preserve">. godine oko 80 % predmeta prinude se odnosi na ove prekršaje </w:t>
      </w:r>
      <w:r w:rsidR="00363443" w:rsidRPr="00512BE3">
        <w:rPr>
          <w:sz w:val="22"/>
          <w:szCs w:val="22"/>
          <w:lang w:eastAsia="sr-Latn-CS"/>
        </w:rPr>
        <w:t xml:space="preserve">s tim da je </w:t>
      </w:r>
      <w:r w:rsidR="00801BA1" w:rsidRPr="00512BE3">
        <w:rPr>
          <w:sz w:val="22"/>
          <w:szCs w:val="22"/>
          <w:lang w:eastAsia="sr-Latn-CS"/>
        </w:rPr>
        <w:t xml:space="preserve">procenat </w:t>
      </w:r>
      <w:r w:rsidR="00363443" w:rsidRPr="00512BE3">
        <w:rPr>
          <w:sz w:val="22"/>
          <w:szCs w:val="22"/>
          <w:lang w:eastAsia="sr-Latn-CS"/>
        </w:rPr>
        <w:t xml:space="preserve">prinudne </w:t>
      </w:r>
      <w:r w:rsidR="00801BA1" w:rsidRPr="00512BE3">
        <w:rPr>
          <w:sz w:val="22"/>
          <w:szCs w:val="22"/>
          <w:lang w:eastAsia="sr-Latn-CS"/>
        </w:rPr>
        <w:t xml:space="preserve">naplate duga </w:t>
      </w:r>
      <w:r w:rsidRPr="00512BE3">
        <w:rPr>
          <w:sz w:val="22"/>
          <w:szCs w:val="22"/>
          <w:lang w:eastAsia="sr-Latn-CS"/>
        </w:rPr>
        <w:t>navedenih</w:t>
      </w:r>
      <w:r w:rsidR="00801BA1" w:rsidRPr="00512BE3">
        <w:rPr>
          <w:sz w:val="22"/>
          <w:szCs w:val="22"/>
          <w:lang w:eastAsia="sr-Latn-CS"/>
        </w:rPr>
        <w:t xml:space="preserve"> novčanih kazni ispod 10%. </w:t>
      </w:r>
    </w:p>
    <w:p w14:paraId="31ED81EC" w14:textId="3CDA1A35" w:rsidR="0034068B" w:rsidRPr="00512BE3" w:rsidRDefault="0034068B" w:rsidP="0095417A">
      <w:pPr>
        <w:ind w:firstLine="709"/>
        <w:jc w:val="both"/>
        <w:rPr>
          <w:sz w:val="22"/>
          <w:szCs w:val="22"/>
          <w:lang w:val="sr-Latn-CS"/>
        </w:rPr>
      </w:pPr>
      <w:r w:rsidRPr="00512BE3">
        <w:rPr>
          <w:sz w:val="22"/>
          <w:szCs w:val="22"/>
          <w:lang w:val="sr-Latn-CS"/>
        </w:rPr>
        <w:t xml:space="preserve">Od osnivanja UIO do dana izvještaja, u postupku prinudne naplate proglašeno je nenaplativim ukupno </w:t>
      </w:r>
      <w:r w:rsidR="002C76C1" w:rsidRPr="00512BE3">
        <w:rPr>
          <w:sz w:val="22"/>
          <w:szCs w:val="22"/>
          <w:lang w:val="sr-Latn-CS"/>
        </w:rPr>
        <w:t>11.059.792,64</w:t>
      </w:r>
      <w:r w:rsidRPr="00512BE3">
        <w:rPr>
          <w:sz w:val="22"/>
          <w:szCs w:val="22"/>
          <w:lang w:val="sr-Latn-CS"/>
        </w:rPr>
        <w:t xml:space="preserve"> duga po raznim osnovama, s tim da se dio duga odnosi na dužnike kod kojih je evidentiran automatski razrez duga i kod poreskih obveznika gdje su osnivači stranci koji nemaju imovinu niti boravište u BiH. </w:t>
      </w:r>
    </w:p>
    <w:p w14:paraId="7F9E049C" w14:textId="51253BA0" w:rsidR="00801BA1" w:rsidRPr="00512BE3" w:rsidRDefault="00711353" w:rsidP="0095417A">
      <w:pPr>
        <w:ind w:firstLine="709"/>
        <w:jc w:val="both"/>
        <w:rPr>
          <w:sz w:val="22"/>
          <w:szCs w:val="22"/>
          <w:lang w:val="bs-Latn-BA" w:eastAsia="sr-Latn-CS"/>
        </w:rPr>
      </w:pPr>
      <w:r w:rsidRPr="00512BE3">
        <w:rPr>
          <w:sz w:val="22"/>
          <w:szCs w:val="22"/>
          <w:lang w:val="bs-Latn-BA" w:eastAsia="sr-Latn-CS"/>
        </w:rPr>
        <w:t>Grupe za prinudnu naplatu su i u 2022. godini nastavile provoditi postupak donošenja rješenja kojim se dug po osnovu automatskog razreza dužnika i po osnovu indirektnih poreza, ostalih prihoda i taksi, proglašava zastarjelim, što je imalo za posljedicu otpis duga koji se evidentira u informacionim sistemima UIO (ISOP i ePorezi) (privremeno nenaplativi dugovi za period 2006. do određenog datuma 2012. godine za koje je nastupila zastarjelost, i sl.). Nakon provedenog postupka prinudne naplate i iscrpljivanja svih mogućnosti naplate duga, grupe za prinudnu naplatu donijele su ukupno 656  rješenja o zastari duga na osnovu kojih je izvršen otpis duga u ukupnom iznosu od 12.405.304,65 KM. U odnosu na 2021. godinu, donesen je manji broj rješenja za otpis duga (u 2021. godini doneseno ukupno 712 rješenja dok je u ranijim godinama doneseno 3055 rješenja) i otpisan manji iznos duga (ukupno otpisano u 2021. godini 11.832.253,68 KM</w:t>
      </w:r>
      <w:r w:rsidR="00356A7F">
        <w:rPr>
          <w:sz w:val="22"/>
          <w:szCs w:val="22"/>
          <w:lang w:val="bs-Latn-BA" w:eastAsia="sr-Latn-CS"/>
        </w:rPr>
        <w:t>,</w:t>
      </w:r>
      <w:r w:rsidRPr="00512BE3">
        <w:rPr>
          <w:sz w:val="22"/>
          <w:szCs w:val="22"/>
          <w:lang w:val="bs-Latn-BA" w:eastAsia="sr-Latn-CS"/>
        </w:rPr>
        <w:t xml:space="preserve"> dok je u 2020. godini otpisano ukupno 27.550.364,13 KM).</w:t>
      </w:r>
    </w:p>
    <w:p w14:paraId="3FAF3807" w14:textId="77777777" w:rsidR="007B6CB6" w:rsidRPr="00512BE3" w:rsidRDefault="007B6CB6" w:rsidP="0095417A">
      <w:pPr>
        <w:ind w:firstLine="709"/>
        <w:jc w:val="both"/>
        <w:rPr>
          <w:sz w:val="22"/>
          <w:szCs w:val="22"/>
          <w:lang w:eastAsia="sr-Latn-CS"/>
        </w:rPr>
      </w:pPr>
    </w:p>
    <w:p w14:paraId="363A20A8" w14:textId="77777777" w:rsidR="004A3CBA" w:rsidRPr="00512BE3" w:rsidRDefault="00193DBC" w:rsidP="007B6CB6">
      <w:pPr>
        <w:pStyle w:val="Heading2"/>
        <w:spacing w:before="0"/>
        <w:ind w:left="720" w:hanging="578"/>
        <w:rPr>
          <w:color w:val="auto"/>
          <w:sz w:val="22"/>
          <w:szCs w:val="22"/>
          <w:lang w:val="hr-BA"/>
        </w:rPr>
      </w:pPr>
      <w:bookmarkStart w:id="9" w:name="_Toc95294149"/>
      <w:r w:rsidRPr="00512BE3">
        <w:rPr>
          <w:color w:val="auto"/>
          <w:sz w:val="22"/>
          <w:szCs w:val="22"/>
          <w:lang w:val="hr-BA"/>
        </w:rPr>
        <w:t>Stanje oduzete robe u Centralnom skl</w:t>
      </w:r>
      <w:r w:rsidR="001804B6" w:rsidRPr="00512BE3">
        <w:rPr>
          <w:color w:val="auto"/>
          <w:sz w:val="22"/>
          <w:szCs w:val="22"/>
          <w:lang w:val="hr-BA"/>
        </w:rPr>
        <w:t>adištu i u regionalnim centrima</w:t>
      </w:r>
      <w:bookmarkEnd w:id="9"/>
    </w:p>
    <w:p w14:paraId="1D38041E" w14:textId="0D8FDEC0" w:rsidR="002972D7" w:rsidRPr="00512BE3" w:rsidRDefault="00526B4A" w:rsidP="007B6CB6">
      <w:pPr>
        <w:ind w:firstLine="709"/>
        <w:jc w:val="both"/>
        <w:rPr>
          <w:sz w:val="22"/>
          <w:szCs w:val="22"/>
          <w:lang w:val="en-US"/>
        </w:rPr>
      </w:pPr>
      <w:r w:rsidRPr="00512BE3">
        <w:rPr>
          <w:color w:val="000000" w:themeColor="text1"/>
          <w:sz w:val="22"/>
          <w:szCs w:val="22"/>
          <w:lang w:val="pl-PL"/>
        </w:rPr>
        <w:t>U toku 2022. godine privremeno je oduzeta, zaprimljena i procjenjena roba u vrijednosti od 1.333.571,69 KM na nivou UIO što je za 55,37 % manje u odnosu na 2021. godinu kada je ukupna vrijednost oduzete, zaprimljene i procjenjene vrijednosti robe iznosila 2.988.051,46 KM.</w:t>
      </w:r>
      <w:r w:rsidR="006432A8" w:rsidRPr="00512BE3">
        <w:rPr>
          <w:color w:val="000000" w:themeColor="text1"/>
          <w:sz w:val="22"/>
          <w:szCs w:val="22"/>
          <w:lang w:val="pl-PL"/>
        </w:rPr>
        <w:t xml:space="preserve"> </w:t>
      </w:r>
      <w:r w:rsidR="002972D7" w:rsidRPr="00512BE3">
        <w:rPr>
          <w:sz w:val="22"/>
          <w:szCs w:val="22"/>
          <w:lang w:val="pl-PL"/>
        </w:rPr>
        <w:t>Postupajući u skladu sa Uputstvom o uništenju i ustupanju carinske robe, u toku 2022. godine izvršeno je uništenje pravosnažno oduzete robe u iznosu od 1.569.468,10 KM na nivou UIO što je za 3,58% više u odnosu na 2021. godinu, kada je izvršeno uništenje robe u iznosu od 1.515.209,55 KM.</w:t>
      </w:r>
      <w:r w:rsidR="0095417A" w:rsidRPr="00512BE3">
        <w:rPr>
          <w:color w:val="000000" w:themeColor="text1"/>
          <w:sz w:val="22"/>
          <w:szCs w:val="22"/>
          <w:lang w:val="pl-PL"/>
        </w:rPr>
        <w:t xml:space="preserve"> </w:t>
      </w:r>
      <w:r w:rsidR="002972D7" w:rsidRPr="00512BE3">
        <w:rPr>
          <w:sz w:val="22"/>
          <w:szCs w:val="22"/>
          <w:lang w:val="en-US"/>
        </w:rPr>
        <w:t>U 2022. godini održano je 17 javnih aukcija prvi i drugi put, te 40 direktnih prodaja, od kojih 23 po hitnom postupku na kojima je vršena prodaja oduzete robe.</w:t>
      </w:r>
    </w:p>
    <w:p w14:paraId="4B076B34" w14:textId="2F0C1C20" w:rsidR="00D707E6" w:rsidRPr="00512BE3" w:rsidRDefault="00D707E6" w:rsidP="00D707E6">
      <w:pPr>
        <w:jc w:val="both"/>
        <w:rPr>
          <w:b/>
          <w:i/>
          <w:sz w:val="22"/>
          <w:szCs w:val="22"/>
          <w:lang w:val="en-US"/>
        </w:rPr>
      </w:pPr>
      <w:r w:rsidRPr="00512BE3">
        <w:rPr>
          <w:b/>
          <w:i/>
          <w:sz w:val="22"/>
          <w:szCs w:val="22"/>
          <w:lang w:val="en-US"/>
        </w:rPr>
        <w:t>Tabela 5:</w:t>
      </w:r>
      <w:r w:rsidRPr="00512BE3">
        <w:rPr>
          <w:b/>
          <w:i/>
        </w:rPr>
        <w:t xml:space="preserve"> V</w:t>
      </w:r>
      <w:r w:rsidRPr="00512BE3">
        <w:rPr>
          <w:b/>
          <w:i/>
          <w:sz w:val="22"/>
          <w:szCs w:val="22"/>
          <w:lang w:val="en-US"/>
        </w:rPr>
        <w:t>rijednost privremeno oduzete robe u 2022. godini, po kvartalima</w:t>
      </w:r>
    </w:p>
    <w:tbl>
      <w:tblPr>
        <w:tblW w:w="8977" w:type="dxa"/>
        <w:jc w:val="center"/>
        <w:tblLook w:val="04A0" w:firstRow="1" w:lastRow="0" w:firstColumn="1" w:lastColumn="0" w:noHBand="0" w:noVBand="1"/>
      </w:tblPr>
      <w:tblGrid>
        <w:gridCol w:w="2263"/>
        <w:gridCol w:w="2158"/>
        <w:gridCol w:w="2211"/>
        <w:gridCol w:w="2345"/>
      </w:tblGrid>
      <w:tr w:rsidR="00D707E6" w:rsidRPr="000D0558" w14:paraId="4CC2E5CC" w14:textId="77777777" w:rsidTr="00D707E6">
        <w:trPr>
          <w:trHeight w:val="216"/>
          <w:jc w:val="center"/>
        </w:trPr>
        <w:tc>
          <w:tcPr>
            <w:tcW w:w="897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25BC883A" w14:textId="39FD9329" w:rsidR="00D707E6" w:rsidRPr="000D0558" w:rsidRDefault="00D707E6" w:rsidP="00D707E6">
            <w:pPr>
              <w:jc w:val="center"/>
              <w:rPr>
                <w:b/>
                <w:sz w:val="20"/>
                <w:szCs w:val="20"/>
                <w:lang w:val="en-US" w:eastAsia="sr-Latn-CS"/>
              </w:rPr>
            </w:pPr>
            <w:r w:rsidRPr="000D0558">
              <w:rPr>
                <w:b/>
                <w:sz w:val="20"/>
                <w:szCs w:val="20"/>
                <w:lang w:val="en-US" w:eastAsia="sr-Latn-CS"/>
              </w:rPr>
              <w:t>VRIJEDNOST PRIVREMENO ODUZETE ROBE U 2022 – PO KVARTALIMA</w:t>
            </w:r>
          </w:p>
        </w:tc>
      </w:tr>
      <w:tr w:rsidR="00D707E6" w:rsidRPr="000D0558" w14:paraId="572E79DE" w14:textId="77777777" w:rsidTr="00D707E6">
        <w:trPr>
          <w:trHeight w:val="216"/>
          <w:jc w:val="center"/>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7C0E9640" w14:textId="615B104D" w:rsidR="00D707E6" w:rsidRPr="000D0558" w:rsidRDefault="00D707E6" w:rsidP="00D707E6">
            <w:pPr>
              <w:jc w:val="both"/>
              <w:rPr>
                <w:sz w:val="20"/>
                <w:szCs w:val="20"/>
                <w:lang w:val="en-US" w:eastAsia="sr-Latn-CS"/>
              </w:rPr>
            </w:pPr>
            <w:r w:rsidRPr="000D0558">
              <w:rPr>
                <w:sz w:val="20"/>
                <w:szCs w:val="20"/>
              </w:rPr>
              <w:t>I KVARTAL</w:t>
            </w:r>
          </w:p>
        </w:tc>
        <w:tc>
          <w:tcPr>
            <w:tcW w:w="2158" w:type="dxa"/>
            <w:tcBorders>
              <w:top w:val="single" w:sz="4" w:space="0" w:color="auto"/>
              <w:left w:val="nil"/>
              <w:bottom w:val="single" w:sz="4" w:space="0" w:color="auto"/>
              <w:right w:val="single" w:sz="4" w:space="0" w:color="auto"/>
            </w:tcBorders>
            <w:shd w:val="clear" w:color="auto" w:fill="FFF2CC" w:themeFill="accent4" w:themeFillTint="33"/>
            <w:noWrap/>
          </w:tcPr>
          <w:p w14:paraId="56A70ABD" w14:textId="7D8D517B" w:rsidR="00D707E6" w:rsidRPr="000D0558" w:rsidRDefault="00D707E6" w:rsidP="00D707E6">
            <w:pPr>
              <w:jc w:val="both"/>
              <w:rPr>
                <w:sz w:val="20"/>
                <w:szCs w:val="20"/>
                <w:lang w:val="en-US" w:eastAsia="sr-Latn-CS"/>
              </w:rPr>
            </w:pPr>
            <w:r w:rsidRPr="000D0558">
              <w:rPr>
                <w:sz w:val="20"/>
                <w:szCs w:val="20"/>
              </w:rPr>
              <w:t>II KVARTAL</w:t>
            </w:r>
          </w:p>
        </w:tc>
        <w:tc>
          <w:tcPr>
            <w:tcW w:w="2211" w:type="dxa"/>
            <w:tcBorders>
              <w:top w:val="single" w:sz="4" w:space="0" w:color="auto"/>
              <w:left w:val="nil"/>
              <w:bottom w:val="single" w:sz="4" w:space="0" w:color="auto"/>
              <w:right w:val="single" w:sz="4" w:space="0" w:color="auto"/>
            </w:tcBorders>
            <w:shd w:val="clear" w:color="auto" w:fill="FFF2CC" w:themeFill="accent4" w:themeFillTint="33"/>
            <w:noWrap/>
          </w:tcPr>
          <w:p w14:paraId="6153C74E" w14:textId="317BD106" w:rsidR="00D707E6" w:rsidRPr="000D0558" w:rsidRDefault="00D707E6" w:rsidP="00D707E6">
            <w:pPr>
              <w:jc w:val="both"/>
              <w:rPr>
                <w:sz w:val="20"/>
                <w:szCs w:val="20"/>
                <w:lang w:val="en-US" w:eastAsia="sr-Latn-CS"/>
              </w:rPr>
            </w:pPr>
            <w:r w:rsidRPr="000D0558">
              <w:rPr>
                <w:sz w:val="20"/>
                <w:szCs w:val="20"/>
              </w:rPr>
              <w:t>III KVARTAL</w:t>
            </w:r>
          </w:p>
        </w:tc>
        <w:tc>
          <w:tcPr>
            <w:tcW w:w="2344" w:type="dxa"/>
            <w:tcBorders>
              <w:top w:val="single" w:sz="4" w:space="0" w:color="auto"/>
              <w:left w:val="nil"/>
              <w:bottom w:val="single" w:sz="4" w:space="0" w:color="auto"/>
              <w:right w:val="single" w:sz="4" w:space="0" w:color="auto"/>
            </w:tcBorders>
            <w:shd w:val="clear" w:color="auto" w:fill="FFF2CC" w:themeFill="accent4" w:themeFillTint="33"/>
            <w:noWrap/>
          </w:tcPr>
          <w:p w14:paraId="6611E296" w14:textId="760E9809" w:rsidR="00D707E6" w:rsidRPr="000D0558" w:rsidRDefault="00D707E6" w:rsidP="00D707E6">
            <w:pPr>
              <w:jc w:val="both"/>
              <w:rPr>
                <w:sz w:val="20"/>
                <w:szCs w:val="20"/>
                <w:lang w:val="en-US" w:eastAsia="sr-Latn-CS"/>
              </w:rPr>
            </w:pPr>
            <w:r w:rsidRPr="000D0558">
              <w:rPr>
                <w:sz w:val="20"/>
                <w:szCs w:val="20"/>
              </w:rPr>
              <w:t>IV KVARTAL</w:t>
            </w:r>
          </w:p>
        </w:tc>
      </w:tr>
      <w:tr w:rsidR="00D707E6" w:rsidRPr="000D0558" w14:paraId="3A3FE9BD" w14:textId="77777777" w:rsidTr="00D707E6">
        <w:trPr>
          <w:trHeight w:val="216"/>
          <w:jc w:val="center"/>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6BF69CF2" w14:textId="77777777" w:rsidR="00D707E6" w:rsidRPr="000D0558" w:rsidRDefault="00D707E6" w:rsidP="00843484">
            <w:pPr>
              <w:jc w:val="both"/>
              <w:rPr>
                <w:sz w:val="20"/>
                <w:szCs w:val="20"/>
                <w:lang w:val="en-US" w:eastAsia="sr-Latn-CS"/>
              </w:rPr>
            </w:pPr>
            <w:r w:rsidRPr="000D0558">
              <w:rPr>
                <w:sz w:val="20"/>
                <w:szCs w:val="20"/>
                <w:lang w:val="en-US" w:eastAsia="sr-Latn-CS"/>
              </w:rPr>
              <w:t xml:space="preserve">       45,479.43    </w:t>
            </w:r>
          </w:p>
        </w:tc>
        <w:tc>
          <w:tcPr>
            <w:tcW w:w="2158" w:type="dxa"/>
            <w:tcBorders>
              <w:top w:val="nil"/>
              <w:left w:val="nil"/>
              <w:bottom w:val="single" w:sz="4" w:space="0" w:color="auto"/>
              <w:right w:val="single" w:sz="4" w:space="0" w:color="auto"/>
            </w:tcBorders>
            <w:shd w:val="clear" w:color="auto" w:fill="F2F2F2" w:themeFill="background1" w:themeFillShade="F2"/>
            <w:noWrap/>
            <w:hideMark/>
          </w:tcPr>
          <w:p w14:paraId="6EEFE7F2" w14:textId="77777777" w:rsidR="00D707E6" w:rsidRPr="000D0558" w:rsidRDefault="00D707E6" w:rsidP="00843484">
            <w:pPr>
              <w:jc w:val="both"/>
              <w:rPr>
                <w:sz w:val="20"/>
                <w:szCs w:val="20"/>
                <w:lang w:val="en-US" w:eastAsia="sr-Latn-CS"/>
              </w:rPr>
            </w:pPr>
            <w:r w:rsidRPr="000D0558">
              <w:rPr>
                <w:sz w:val="20"/>
                <w:szCs w:val="20"/>
                <w:lang w:val="en-US" w:eastAsia="sr-Latn-CS"/>
              </w:rPr>
              <w:t xml:space="preserve">      22,546.69    </w:t>
            </w:r>
          </w:p>
        </w:tc>
        <w:tc>
          <w:tcPr>
            <w:tcW w:w="2211" w:type="dxa"/>
            <w:tcBorders>
              <w:top w:val="nil"/>
              <w:left w:val="nil"/>
              <w:bottom w:val="single" w:sz="4" w:space="0" w:color="auto"/>
              <w:right w:val="single" w:sz="4" w:space="0" w:color="auto"/>
            </w:tcBorders>
            <w:shd w:val="clear" w:color="auto" w:fill="F2F2F2" w:themeFill="background1" w:themeFillShade="F2"/>
            <w:noWrap/>
            <w:hideMark/>
          </w:tcPr>
          <w:p w14:paraId="04A22ED2" w14:textId="77777777" w:rsidR="00D707E6" w:rsidRPr="000D0558" w:rsidRDefault="00D707E6" w:rsidP="00843484">
            <w:pPr>
              <w:jc w:val="both"/>
              <w:rPr>
                <w:sz w:val="20"/>
                <w:szCs w:val="20"/>
                <w:lang w:val="en-US" w:eastAsia="sr-Latn-CS"/>
              </w:rPr>
            </w:pPr>
            <w:r w:rsidRPr="000D0558">
              <w:rPr>
                <w:sz w:val="20"/>
                <w:szCs w:val="20"/>
                <w:lang w:val="en-US" w:eastAsia="sr-Latn-CS"/>
              </w:rPr>
              <w:t xml:space="preserve">       832,860.86    </w:t>
            </w:r>
          </w:p>
        </w:tc>
        <w:tc>
          <w:tcPr>
            <w:tcW w:w="2344" w:type="dxa"/>
            <w:tcBorders>
              <w:top w:val="nil"/>
              <w:left w:val="nil"/>
              <w:bottom w:val="single" w:sz="4" w:space="0" w:color="auto"/>
              <w:right w:val="single" w:sz="4" w:space="0" w:color="auto"/>
            </w:tcBorders>
            <w:shd w:val="clear" w:color="auto" w:fill="F2F2F2" w:themeFill="background1" w:themeFillShade="F2"/>
            <w:noWrap/>
            <w:hideMark/>
          </w:tcPr>
          <w:p w14:paraId="5CEAE429" w14:textId="77777777" w:rsidR="00D707E6" w:rsidRPr="000D0558" w:rsidRDefault="00D707E6" w:rsidP="00843484">
            <w:pPr>
              <w:jc w:val="both"/>
              <w:rPr>
                <w:sz w:val="20"/>
                <w:szCs w:val="20"/>
                <w:lang w:val="en-US" w:eastAsia="sr-Latn-CS"/>
              </w:rPr>
            </w:pPr>
            <w:r w:rsidRPr="000D0558">
              <w:rPr>
                <w:sz w:val="20"/>
                <w:szCs w:val="20"/>
                <w:lang w:val="en-US" w:eastAsia="sr-Latn-CS"/>
              </w:rPr>
              <w:t xml:space="preserve">      432,684.71    </w:t>
            </w:r>
          </w:p>
        </w:tc>
      </w:tr>
    </w:tbl>
    <w:p w14:paraId="63886AD9" w14:textId="77777777" w:rsidR="00D707E6" w:rsidRPr="000D0558" w:rsidRDefault="00D707E6" w:rsidP="007B6CB6">
      <w:pPr>
        <w:ind w:firstLine="709"/>
        <w:jc w:val="both"/>
        <w:rPr>
          <w:color w:val="000000" w:themeColor="text1"/>
          <w:sz w:val="20"/>
          <w:szCs w:val="20"/>
          <w:lang w:val="pl-PL"/>
        </w:rPr>
      </w:pPr>
    </w:p>
    <w:p w14:paraId="30D42730" w14:textId="03A8851D" w:rsidR="00F25904" w:rsidRPr="00826BB9" w:rsidRDefault="00111447" w:rsidP="00826BB9">
      <w:pPr>
        <w:ind w:firstLine="709"/>
        <w:jc w:val="both"/>
        <w:rPr>
          <w:sz w:val="22"/>
          <w:szCs w:val="22"/>
          <w:lang w:val="sr-Latn-BA"/>
        </w:rPr>
      </w:pPr>
      <w:r w:rsidRPr="00512BE3">
        <w:rPr>
          <w:sz w:val="22"/>
          <w:szCs w:val="22"/>
          <w:lang w:val="pl-PL"/>
        </w:rPr>
        <w:lastRenderedPageBreak/>
        <w:t xml:space="preserve">U izvještajnom periodu </w:t>
      </w:r>
      <w:r w:rsidR="002972D7" w:rsidRPr="00512BE3">
        <w:rPr>
          <w:sz w:val="22"/>
          <w:szCs w:val="22"/>
          <w:lang w:val="pl-PL"/>
        </w:rPr>
        <w:t xml:space="preserve">izvršena je prodaja robe za koju su se stekli uslovi za prodaju u ukupnom iznosu od 196.265,57 KM što je za 78,73 % više u odnosu na 2021. godinu, kada je ukupna vrijednost prodate robe bila 109.811,92 KM. </w:t>
      </w:r>
      <w:r w:rsidR="002972D7" w:rsidRPr="00512BE3">
        <w:rPr>
          <w:sz w:val="22"/>
          <w:szCs w:val="22"/>
          <w:lang w:val="en-US"/>
        </w:rPr>
        <w:t>Otkup oduzete robe, u toku 2022. godine izvršen je u Regionalnom centru Mostar i Sarajevo u ukupnom iznosu od 23.606,48 KM, odnosno 18.464,33 KM u Regionalnom centru Mostar i 5.142,15 KM u Regionalnom centru Sarajevo</w:t>
      </w:r>
      <w:r w:rsidRPr="00512BE3">
        <w:rPr>
          <w:sz w:val="22"/>
          <w:szCs w:val="22"/>
          <w:lang w:val="pl-PL"/>
        </w:rPr>
        <w:t>. U skladu sa članom 16. stav 2. Uputstva o postupanju sa robom oduzetom u krivičnom i prekršajnom postupku, zaplijenjenom u upravnom postupku i ustupljenom u korist BiH („Službeni glasnik BiH”, broj: 26/14)</w:t>
      </w:r>
      <w:r w:rsidR="002972D7" w:rsidRPr="00512BE3">
        <w:rPr>
          <w:sz w:val="22"/>
          <w:szCs w:val="22"/>
          <w:lang w:val="pl-PL"/>
        </w:rPr>
        <w:t xml:space="preserve"> u 2022</w:t>
      </w:r>
      <w:r w:rsidRPr="00512BE3">
        <w:rPr>
          <w:sz w:val="22"/>
          <w:szCs w:val="22"/>
          <w:lang w:val="pl-PL"/>
        </w:rPr>
        <w:t xml:space="preserve">. godini izvršen je povrat </w:t>
      </w:r>
      <w:r w:rsidR="00BF56CF" w:rsidRPr="00512BE3">
        <w:rPr>
          <w:sz w:val="22"/>
          <w:szCs w:val="22"/>
          <w:lang w:val="pl-PL"/>
        </w:rPr>
        <w:t>privremeno oduzete robe na nivou UIO</w:t>
      </w:r>
      <w:r w:rsidRPr="00512BE3">
        <w:rPr>
          <w:sz w:val="22"/>
          <w:szCs w:val="22"/>
          <w:lang w:val="pl-PL"/>
        </w:rPr>
        <w:t xml:space="preserve"> u iznosi </w:t>
      </w:r>
      <w:r w:rsidR="00020B72" w:rsidRPr="00512BE3">
        <w:rPr>
          <w:sz w:val="22"/>
          <w:szCs w:val="22"/>
          <w:lang w:val="pl-PL"/>
        </w:rPr>
        <w:t>506.525,41</w:t>
      </w:r>
      <w:r w:rsidRPr="00512BE3">
        <w:rPr>
          <w:sz w:val="22"/>
          <w:szCs w:val="22"/>
          <w:lang w:val="pl-PL"/>
        </w:rPr>
        <w:t xml:space="preserve"> KM </w:t>
      </w:r>
      <w:r w:rsidR="00BF56CF" w:rsidRPr="00512BE3">
        <w:rPr>
          <w:sz w:val="22"/>
          <w:szCs w:val="22"/>
          <w:lang w:val="pl-PL"/>
        </w:rPr>
        <w:t>licu od kojeg je privremeno oduzeta</w:t>
      </w:r>
      <w:r w:rsidR="00020B72" w:rsidRPr="00512BE3">
        <w:rPr>
          <w:sz w:val="22"/>
          <w:szCs w:val="22"/>
          <w:lang w:val="pl-PL"/>
        </w:rPr>
        <w:t>, što je za 20,39 % manje u odnosu na 2021. godinu kada je izvršen povrat robe u vrijednosti od 636.298,75 KM.</w:t>
      </w:r>
      <w:r w:rsidR="006C4B4C">
        <w:rPr>
          <w:sz w:val="22"/>
          <w:szCs w:val="22"/>
          <w:lang w:val="pl-PL"/>
        </w:rPr>
        <w:t xml:space="preserve"> Takođe je postupajući u skladu sa Uputstvom o uništenju i ustupanju crinske robe</w:t>
      </w:r>
      <w:r w:rsidR="00F22B31">
        <w:rPr>
          <w:sz w:val="22"/>
          <w:szCs w:val="22"/>
          <w:lang w:val="pl-PL"/>
        </w:rPr>
        <w:t xml:space="preserve"> </w:t>
      </w:r>
      <w:r w:rsidR="006C4B4C">
        <w:rPr>
          <w:sz w:val="22"/>
          <w:szCs w:val="22"/>
          <w:lang w:val="pl-PL"/>
        </w:rPr>
        <w:t xml:space="preserve">u toku 2022. godine izvršeno uništenje pravosnažno oduzete robe u iznosu od 1.569.468,10 KM na nivou UIO što je za 3,58% više u odnosu na 2021. </w:t>
      </w:r>
      <w:r w:rsidR="004440AE">
        <w:rPr>
          <w:sz w:val="22"/>
          <w:szCs w:val="22"/>
          <w:lang w:val="pl-PL"/>
        </w:rPr>
        <w:t>g</w:t>
      </w:r>
      <w:r w:rsidR="006C4B4C">
        <w:rPr>
          <w:sz w:val="22"/>
          <w:szCs w:val="22"/>
          <w:lang w:val="pl-PL"/>
        </w:rPr>
        <w:t>odinu kada je izvršeno uništenje robe u iznosu od 1.515.209,55 KM</w:t>
      </w:r>
      <w:r w:rsidR="00387AAE">
        <w:rPr>
          <w:sz w:val="22"/>
          <w:szCs w:val="22"/>
          <w:lang w:val="pl-PL"/>
        </w:rPr>
        <w:t>.</w:t>
      </w:r>
      <w:r w:rsidR="00826BB9">
        <w:rPr>
          <w:sz w:val="22"/>
          <w:szCs w:val="22"/>
          <w:lang w:val="pl-PL"/>
        </w:rPr>
        <w:t xml:space="preserve"> </w:t>
      </w:r>
      <w:r w:rsidR="00020B72" w:rsidRPr="00826BB9">
        <w:rPr>
          <w:sz w:val="22"/>
          <w:szCs w:val="22"/>
          <w:lang w:val="sr-Latn-BA"/>
        </w:rPr>
        <w:t>Postupak uništenja oduzetih motornih vozila okončan je</w:t>
      </w:r>
      <w:r w:rsidR="00566A2B" w:rsidRPr="00826BB9">
        <w:rPr>
          <w:sz w:val="22"/>
          <w:szCs w:val="22"/>
          <w:lang w:val="sr-Latn-BA"/>
        </w:rPr>
        <w:t xml:space="preserve"> u 2019. i 2021. godini</w:t>
      </w:r>
      <w:r w:rsidR="00020B72" w:rsidRPr="00826BB9">
        <w:rPr>
          <w:sz w:val="22"/>
          <w:szCs w:val="22"/>
          <w:lang w:val="sr-Latn-BA"/>
        </w:rPr>
        <w:t xml:space="preserve"> i naplaćen</w:t>
      </w:r>
      <w:r w:rsidR="00826BB9">
        <w:rPr>
          <w:sz w:val="22"/>
          <w:szCs w:val="22"/>
          <w:lang w:val="sr-Latn-BA"/>
        </w:rPr>
        <w:t xml:space="preserve"> je</w:t>
      </w:r>
      <w:r w:rsidR="00020B72" w:rsidRPr="00826BB9">
        <w:rPr>
          <w:sz w:val="22"/>
          <w:szCs w:val="22"/>
          <w:lang w:val="sr-Latn-BA"/>
        </w:rPr>
        <w:t xml:space="preserve"> iznos od 442.888,82 KM (RC Mostar -  naplaćeno 124.369,43 KM; RC Sarajevo  - naplaćeno 108.200,90 KM; RC Tuzla – naplaćen iznos od 98.719,84 KM; Centralno skladište i RC Banja Luka – naplaćen iznos od 111.598,65 KM). Planirano je da se u 2023. godini provede novi postupak uništenja vozila za koj</w:t>
      </w:r>
      <w:r w:rsidR="00826BB9">
        <w:rPr>
          <w:sz w:val="22"/>
          <w:szCs w:val="22"/>
          <w:lang w:val="sr-Latn-BA"/>
        </w:rPr>
        <w:t>a</w:t>
      </w:r>
      <w:r w:rsidR="00020B72" w:rsidRPr="00826BB9">
        <w:rPr>
          <w:sz w:val="22"/>
          <w:szCs w:val="22"/>
          <w:lang w:val="sr-Latn-BA"/>
        </w:rPr>
        <w:t xml:space="preserve"> su se stekli uslovi za postupanje.</w:t>
      </w:r>
    </w:p>
    <w:p w14:paraId="55F03228" w14:textId="77777777" w:rsidR="00F25904" w:rsidRPr="00512BE3" w:rsidRDefault="00F25904" w:rsidP="00356A84">
      <w:pPr>
        <w:spacing w:after="40"/>
        <w:jc w:val="both"/>
        <w:rPr>
          <w:sz w:val="22"/>
          <w:szCs w:val="22"/>
          <w:lang w:val="sr-Latn-BA"/>
        </w:rPr>
      </w:pPr>
    </w:p>
    <w:p w14:paraId="7AC0FA93" w14:textId="21F65FF8" w:rsidR="00E62618" w:rsidRPr="00512BE3" w:rsidRDefault="00E62618" w:rsidP="00B93AA2">
      <w:pPr>
        <w:pStyle w:val="Heading1"/>
        <w:spacing w:before="0"/>
        <w:rPr>
          <w:szCs w:val="24"/>
        </w:rPr>
      </w:pPr>
      <w:bookmarkStart w:id="10" w:name="_Toc95294150"/>
      <w:r w:rsidRPr="00512BE3">
        <w:rPr>
          <w:szCs w:val="24"/>
        </w:rPr>
        <w:t>KONTROLNE AKTIVNOSTI</w:t>
      </w:r>
      <w:bookmarkEnd w:id="10"/>
    </w:p>
    <w:p w14:paraId="03CC6991" w14:textId="77777777" w:rsidR="007B6CB6" w:rsidRPr="00512BE3" w:rsidRDefault="007B6CB6" w:rsidP="007B6CB6"/>
    <w:p w14:paraId="5859D5A2" w14:textId="77777777" w:rsidR="00CA44C5" w:rsidRPr="00512BE3" w:rsidRDefault="00E62618" w:rsidP="007B6CB6">
      <w:pPr>
        <w:pStyle w:val="Heading2"/>
        <w:spacing w:before="0"/>
        <w:ind w:left="720" w:hanging="578"/>
        <w:rPr>
          <w:color w:val="auto"/>
          <w:sz w:val="22"/>
          <w:szCs w:val="22"/>
        </w:rPr>
      </w:pPr>
      <w:bookmarkStart w:id="11" w:name="_Toc95294151"/>
      <w:r w:rsidRPr="00512BE3">
        <w:rPr>
          <w:color w:val="auto"/>
          <w:sz w:val="22"/>
          <w:szCs w:val="22"/>
        </w:rPr>
        <w:t>Analiza rizika</w:t>
      </w:r>
      <w:bookmarkEnd w:id="11"/>
    </w:p>
    <w:p w14:paraId="096587FD" w14:textId="487C0AF3" w:rsidR="005525BE" w:rsidRPr="00512BE3" w:rsidRDefault="008643D8" w:rsidP="007B6CB6">
      <w:pPr>
        <w:ind w:firstLine="708"/>
        <w:jc w:val="both"/>
        <w:rPr>
          <w:sz w:val="22"/>
          <w:szCs w:val="22"/>
          <w:lang w:val="sr-Latn-RS"/>
        </w:rPr>
      </w:pPr>
      <w:r w:rsidRPr="001A2DBA">
        <w:rPr>
          <w:sz w:val="22"/>
          <w:szCs w:val="22"/>
        </w:rPr>
        <w:t>Ključne aktivnosti u 202</w:t>
      </w:r>
      <w:r w:rsidR="003677E9" w:rsidRPr="001A2DBA">
        <w:rPr>
          <w:sz w:val="22"/>
          <w:szCs w:val="22"/>
        </w:rPr>
        <w:t>2</w:t>
      </w:r>
      <w:r w:rsidRPr="001A2DBA">
        <w:rPr>
          <w:sz w:val="22"/>
          <w:szCs w:val="22"/>
        </w:rPr>
        <w:t>. godini</w:t>
      </w:r>
      <w:r w:rsidR="00070700" w:rsidRPr="00512BE3">
        <w:rPr>
          <w:sz w:val="22"/>
          <w:szCs w:val="22"/>
        </w:rPr>
        <w:t xml:space="preserve"> definisane su Strategijom Odjeljenja za analizu i upravljanje rizicima, kojom je planirana identifikacija i analiza rizika na tri nivoa: strateškom, operativnom i taktičkom.</w:t>
      </w:r>
    </w:p>
    <w:p w14:paraId="171EAA1D" w14:textId="77777777" w:rsidR="00982CD5" w:rsidRPr="00512BE3" w:rsidRDefault="00982CD5" w:rsidP="00B908EE">
      <w:pPr>
        <w:pStyle w:val="Normal1"/>
        <w:spacing w:before="0" w:beforeAutospacing="0" w:after="0" w:afterAutospacing="0"/>
        <w:jc w:val="both"/>
        <w:rPr>
          <w:sz w:val="22"/>
          <w:szCs w:val="22"/>
        </w:rPr>
      </w:pPr>
      <w:r w:rsidRPr="00512BE3">
        <w:rPr>
          <w:rStyle w:val="normalchar"/>
          <w:sz w:val="22"/>
          <w:szCs w:val="22"/>
        </w:rPr>
        <w:t xml:space="preserve">Na </w:t>
      </w:r>
      <w:r w:rsidRPr="00512BE3">
        <w:rPr>
          <w:rStyle w:val="normalchar"/>
          <w:i/>
          <w:sz w:val="22"/>
          <w:szCs w:val="22"/>
        </w:rPr>
        <w:t>taktičkom</w:t>
      </w:r>
      <w:r w:rsidRPr="00512BE3">
        <w:rPr>
          <w:rStyle w:val="normalchar"/>
          <w:sz w:val="22"/>
          <w:szCs w:val="22"/>
        </w:rPr>
        <w:t xml:space="preserve"> nivou izvršene su sljedeće analize:</w:t>
      </w:r>
    </w:p>
    <w:p w14:paraId="0E70CCAA" w14:textId="77777777" w:rsidR="00B908EE" w:rsidRPr="00512BE3" w:rsidRDefault="00B908EE" w:rsidP="00B908EE">
      <w:pPr>
        <w:pStyle w:val="Normal1"/>
        <w:numPr>
          <w:ilvl w:val="0"/>
          <w:numId w:val="24"/>
        </w:numPr>
        <w:spacing w:before="0" w:beforeAutospacing="0" w:after="0" w:afterAutospacing="0"/>
        <w:ind w:left="714" w:hanging="357"/>
        <w:rPr>
          <w:sz w:val="22"/>
          <w:szCs w:val="22"/>
          <w:lang w:val="sr-Latn-RS"/>
        </w:rPr>
      </w:pPr>
      <w:r w:rsidRPr="00512BE3">
        <w:rPr>
          <w:sz w:val="22"/>
          <w:szCs w:val="22"/>
          <w:lang w:val="sr-Latn-RS"/>
        </w:rPr>
        <w:t>Dvanaest mjesečnih analiza o izvršenim povratima PDV-a po PDV prijavama;</w:t>
      </w:r>
    </w:p>
    <w:p w14:paraId="18685D18"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Analiza obračunate akcize na uvozne proizvode za 2021. godinu, sa ciljem praćenja trendova i identifikacije glavnih područja rizika i rizičnih obveznika;</w:t>
      </w:r>
    </w:p>
    <w:p w14:paraId="76C81232"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Analiza obračunate akcize na domaće proizvode za 2021. godinu, čiji je cilj prikaz trendova proizvodnje domaćh akciznih proizvoda u BiH, kao i identifikacija glavnih područja rizika i rizičnih obveznika;</w:t>
      </w:r>
    </w:p>
    <w:p w14:paraId="746EF602"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Mjesečne analize obračunate domaće i uvozne akcize za januar i februar 2022. godine, za potrebe internog praćenja trendova i rizika.</w:t>
      </w:r>
    </w:p>
    <w:p w14:paraId="5FE08FA7"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Analiza PDV-SL-2 obrazaca u 2020. i 2021. godini. Predmet analize su odobreni PDV-SL-2 obrasci, odnosno zahtjevi za povrat PDV-a stranim državljanima koji nemaju prebivalište u BiH, sa ciljem da se prepoznaju rizici, utvrde mogući rizični obveznici i daju preporuke u cilju suzbijanja prepoznatih rizika.</w:t>
      </w:r>
    </w:p>
    <w:p w14:paraId="44F3ED48"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Analiza obračunate akcize na uvozne proizvode za I kvartal 2022. godine, sa ciljem praćenja trendova i identifikacije glavnih područja rizika i rizičnih obveznika;</w:t>
      </w:r>
    </w:p>
    <w:p w14:paraId="5CE2C769"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Analiza neaktivnih obveznika u sistemu PDV-a koji vrše spoljnotrgovinski promet, koja je izrađena u cilju identifikacije rizičnih obveznika i smanjenja rizika poštovanja propisa u oblasti registracije, podnošenja, tačnog prijavljivanja i rizika imanentnih spoljnotrgovinskom prometu.</w:t>
      </w:r>
    </w:p>
    <w:p w14:paraId="0308E256" w14:textId="77777777" w:rsidR="00B908EE" w:rsidRPr="00512BE3" w:rsidRDefault="00B908EE" w:rsidP="00B908EE">
      <w:pPr>
        <w:pStyle w:val="Normal1"/>
        <w:numPr>
          <w:ilvl w:val="0"/>
          <w:numId w:val="24"/>
        </w:numPr>
        <w:rPr>
          <w:sz w:val="22"/>
          <w:szCs w:val="22"/>
          <w:lang w:val="sr-Latn-RS"/>
        </w:rPr>
      </w:pPr>
      <w:r w:rsidRPr="00512BE3">
        <w:rPr>
          <w:sz w:val="22"/>
          <w:szCs w:val="22"/>
          <w:lang w:val="sr-Latn-RS"/>
        </w:rPr>
        <w:t>Analiza obračunate akcize na uvozne proizvode za prvih šest mjeseci 2022. godine, sa ciljem praćenja trendova i identifikacije glavnih područja rizika i rizičnih obveznika;</w:t>
      </w:r>
    </w:p>
    <w:p w14:paraId="329AE360" w14:textId="77777777" w:rsidR="000D0558" w:rsidRDefault="00B908EE" w:rsidP="00A03549">
      <w:pPr>
        <w:pStyle w:val="Normal1"/>
        <w:numPr>
          <w:ilvl w:val="0"/>
          <w:numId w:val="24"/>
        </w:numPr>
        <w:rPr>
          <w:sz w:val="22"/>
          <w:szCs w:val="22"/>
          <w:lang w:val="sr-Latn-RS"/>
        </w:rPr>
      </w:pPr>
      <w:r w:rsidRPr="000D0558">
        <w:rPr>
          <w:sz w:val="22"/>
          <w:szCs w:val="22"/>
          <w:lang w:val="sr-Latn-RS"/>
        </w:rPr>
        <w:t>Analiza obračunate akcize na domaće proizvode za prvih šest mjeseci 2022. godine, čiji je cilj prikaz trendova proizvodnje domaćh akciznih proizvoda u BiH, kao i identifikacija glavnih područja rizika i rizičnih obveznika;</w:t>
      </w:r>
    </w:p>
    <w:p w14:paraId="4EDEB0C4" w14:textId="2F3F833F" w:rsidR="00B908EE" w:rsidRPr="000D0558" w:rsidRDefault="00B908EE" w:rsidP="00A03549">
      <w:pPr>
        <w:pStyle w:val="Normal1"/>
        <w:numPr>
          <w:ilvl w:val="0"/>
          <w:numId w:val="24"/>
        </w:numPr>
        <w:rPr>
          <w:sz w:val="22"/>
          <w:szCs w:val="22"/>
          <w:lang w:val="sr-Latn-RS"/>
        </w:rPr>
      </w:pPr>
      <w:r w:rsidRPr="000D0558">
        <w:rPr>
          <w:sz w:val="22"/>
          <w:szCs w:val="22"/>
          <w:lang w:val="sr-Latn-RS"/>
        </w:rPr>
        <w:t>Analiza efikasnosti kontrola predloženih od strane Odjeljenja za analizu i upravljanje rizicima u 2019, 2020. i 2021. godini, sa ciljem ocjene uspješnosti selekcije rizičnih segmenata, djelatnosti i pojedinačnih obveznika na osnovu finansijskog rezultata kontrole.</w:t>
      </w:r>
    </w:p>
    <w:p w14:paraId="50303B2A" w14:textId="7586F5AE" w:rsidR="00052EE6" w:rsidRPr="00512BE3" w:rsidRDefault="00B908EE" w:rsidP="008039E5">
      <w:pPr>
        <w:pStyle w:val="Normal1"/>
        <w:spacing w:before="0" w:beforeAutospacing="0" w:after="0" w:afterAutospacing="0"/>
        <w:ind w:firstLine="709"/>
        <w:jc w:val="both"/>
        <w:rPr>
          <w:rStyle w:val="normalchar"/>
          <w:color w:val="FF0000"/>
          <w:sz w:val="22"/>
          <w:szCs w:val="22"/>
        </w:rPr>
      </w:pPr>
      <w:r w:rsidRPr="00512BE3">
        <w:rPr>
          <w:rStyle w:val="normalchar"/>
          <w:sz w:val="22"/>
          <w:szCs w:val="22"/>
        </w:rPr>
        <w:t>Na operativnom nivou</w:t>
      </w:r>
      <w:r w:rsidR="000D0558">
        <w:rPr>
          <w:rStyle w:val="normalchar"/>
          <w:sz w:val="22"/>
          <w:szCs w:val="22"/>
        </w:rPr>
        <w:t xml:space="preserve"> </w:t>
      </w:r>
      <w:r w:rsidR="00F22B31">
        <w:rPr>
          <w:rStyle w:val="normalchar"/>
          <w:sz w:val="22"/>
          <w:szCs w:val="22"/>
        </w:rPr>
        <w:t xml:space="preserve">analiza rizika je u toku 2022. </w:t>
      </w:r>
      <w:r w:rsidR="000D0558">
        <w:rPr>
          <w:rStyle w:val="normalchar"/>
          <w:sz w:val="22"/>
          <w:szCs w:val="22"/>
        </w:rPr>
        <w:t>g</w:t>
      </w:r>
      <w:r w:rsidR="00F22B31">
        <w:rPr>
          <w:rStyle w:val="normalchar"/>
          <w:sz w:val="22"/>
          <w:szCs w:val="22"/>
        </w:rPr>
        <w:t>odine dostavila prijedlog za kontrolu u oblasti poreza za</w:t>
      </w:r>
      <w:r w:rsidRPr="00512BE3">
        <w:rPr>
          <w:rStyle w:val="normalchar"/>
          <w:sz w:val="22"/>
          <w:szCs w:val="22"/>
        </w:rPr>
        <w:t xml:space="preserve"> 1.343 rizična obveznika</w:t>
      </w:r>
      <w:r w:rsidR="00F22B31">
        <w:rPr>
          <w:rStyle w:val="normalchar"/>
          <w:sz w:val="22"/>
          <w:szCs w:val="22"/>
        </w:rPr>
        <w:t xml:space="preserve">, od čega je </w:t>
      </w:r>
      <w:r w:rsidRPr="00512BE3">
        <w:rPr>
          <w:rStyle w:val="normalchar"/>
          <w:sz w:val="22"/>
          <w:szCs w:val="22"/>
        </w:rPr>
        <w:t xml:space="preserve">završeno 1.220 kontrola, 121 kontrola je u toku, a za dvije kontrole nisu pokrenuti postupci. Efekat završenih kontrola i kontrola u toku za koje je </w:t>
      </w:r>
      <w:r w:rsidR="00F22B31">
        <w:rPr>
          <w:rStyle w:val="normalchar"/>
          <w:sz w:val="22"/>
          <w:szCs w:val="22"/>
        </w:rPr>
        <w:t xml:space="preserve">do momenta izvještavanja </w:t>
      </w:r>
      <w:r w:rsidRPr="00512BE3">
        <w:rPr>
          <w:rStyle w:val="normalchar"/>
          <w:sz w:val="22"/>
          <w:szCs w:val="22"/>
        </w:rPr>
        <w:t xml:space="preserve">iskazan rezultat </w:t>
      </w:r>
      <w:r w:rsidR="006B2529" w:rsidRPr="00512BE3">
        <w:rPr>
          <w:rStyle w:val="normalchar"/>
          <w:sz w:val="22"/>
          <w:szCs w:val="22"/>
        </w:rPr>
        <w:t>iznosi</w:t>
      </w:r>
      <w:r w:rsidR="00F22B31">
        <w:rPr>
          <w:rStyle w:val="normalchar"/>
          <w:sz w:val="22"/>
          <w:szCs w:val="22"/>
        </w:rPr>
        <w:t xml:space="preserve"> 13.996.833 KM. </w:t>
      </w:r>
      <w:r w:rsidR="009E578B" w:rsidRPr="00512BE3">
        <w:rPr>
          <w:rStyle w:val="normalchar"/>
          <w:sz w:val="22"/>
          <w:szCs w:val="22"/>
        </w:rPr>
        <w:t>Parametri, koji su korišteni za identifikaciju rizičnih obveznika postavljeni su u skladu sa preporukama OECD Vodiča za upravljanje poštovanjem pores</w:t>
      </w:r>
      <w:r w:rsidR="007B6177" w:rsidRPr="00512BE3">
        <w:rPr>
          <w:rStyle w:val="normalchar"/>
          <w:sz w:val="22"/>
          <w:szCs w:val="22"/>
        </w:rPr>
        <w:t>kih propisa i podijeljeni su u četiri</w:t>
      </w:r>
      <w:r w:rsidR="009E578B" w:rsidRPr="00512BE3">
        <w:rPr>
          <w:rStyle w:val="normalchar"/>
          <w:sz w:val="22"/>
          <w:szCs w:val="22"/>
        </w:rPr>
        <w:t xml:space="preserve"> ključne oblasti: registracija, podnošenje prijava, </w:t>
      </w:r>
      <w:r w:rsidR="009E578B" w:rsidRPr="00512BE3">
        <w:rPr>
          <w:rStyle w:val="normalchar"/>
          <w:sz w:val="22"/>
          <w:szCs w:val="22"/>
        </w:rPr>
        <w:lastRenderedPageBreak/>
        <w:t>prijavljivanje poreskih obaveza i plaćanje. Osim toga, korišten je i benchmarking na način da je vršeno poređenje ponašanja određenog obveznika sa obveznicima koji pripadaju istoj vrsti djelatnosti. U postupku vrednovanja parametara rizika, najveći značaj imali su finansijski parametri. Na osnovu postavljenih parametara rizika, izvršena je i analiza poreskih obveznika, kojim na izvršenje dospjeva zahtjevani povrat i/ili neiskorišteni poreski kredit te su na osnovu ukupnog broja bodov</w:t>
      </w:r>
      <w:r w:rsidR="007B6177" w:rsidRPr="00512BE3">
        <w:rPr>
          <w:rStyle w:val="normalchar"/>
          <w:sz w:val="22"/>
          <w:szCs w:val="22"/>
        </w:rPr>
        <w:t>a rizika obveznici grupisani u tri</w:t>
      </w:r>
      <w:r w:rsidR="009E578B" w:rsidRPr="00512BE3">
        <w:rPr>
          <w:rStyle w:val="normalchar"/>
          <w:sz w:val="22"/>
          <w:szCs w:val="22"/>
        </w:rPr>
        <w:t xml:space="preserve"> rizična područja (visok, srednji i nizak rizik). </w:t>
      </w:r>
    </w:p>
    <w:p w14:paraId="655AA15B" w14:textId="6AB727A4" w:rsidR="00052EE6" w:rsidRPr="00512BE3" w:rsidRDefault="00052EE6" w:rsidP="008039E5">
      <w:pPr>
        <w:pStyle w:val="Normal1"/>
        <w:spacing w:before="0" w:beforeAutospacing="0" w:after="0" w:afterAutospacing="0"/>
        <w:ind w:firstLine="709"/>
        <w:jc w:val="both"/>
        <w:rPr>
          <w:rStyle w:val="normalchar"/>
          <w:sz w:val="22"/>
          <w:szCs w:val="22"/>
        </w:rPr>
      </w:pPr>
      <w:r w:rsidRPr="00512BE3">
        <w:t xml:space="preserve"> </w:t>
      </w:r>
      <w:r w:rsidRPr="00512BE3">
        <w:rPr>
          <w:rStyle w:val="normalchar"/>
          <w:sz w:val="22"/>
          <w:szCs w:val="22"/>
        </w:rPr>
        <w:t xml:space="preserve">Za potrebe provođenja zajedničkih aktivnosti UIO i Poreske uprave Brčko distrikta, izvršena je analiza i identifikovani su rizici koji se vežu za obveznike koji posluju na Tržnici Arizona, te je na osnovu modela procijenjena rizičnost i selektovano je 30 obveznika koji će biti predmet kontrolnih aktivnosti. U 2022. godini kroz aplikaciju RIDB, organizacione jedinice </w:t>
      </w:r>
      <w:r w:rsidRPr="001A2DBA">
        <w:rPr>
          <w:rStyle w:val="normalchar"/>
          <w:sz w:val="22"/>
          <w:szCs w:val="22"/>
        </w:rPr>
        <w:t>UIO</w:t>
      </w:r>
      <w:r w:rsidR="00817619" w:rsidRPr="001A2DBA">
        <w:rPr>
          <w:rStyle w:val="normalchar"/>
          <w:sz w:val="22"/>
          <w:szCs w:val="22"/>
        </w:rPr>
        <w:t xml:space="preserve"> </w:t>
      </w:r>
      <w:r w:rsidRPr="001A2DBA">
        <w:rPr>
          <w:rStyle w:val="normalchar"/>
          <w:sz w:val="22"/>
          <w:szCs w:val="22"/>
        </w:rPr>
        <w:t>su</w:t>
      </w:r>
      <w:r w:rsidRPr="00512BE3">
        <w:rPr>
          <w:rStyle w:val="normalchar"/>
          <w:sz w:val="22"/>
          <w:szCs w:val="22"/>
        </w:rPr>
        <w:t xml:space="preserve"> dostavile 98 IOR-a kojima se traži kreiranje novih kriterija selektiviteta i četiri IOR-a za modifikaciju postojećeg kriterija selektiviteta.</w:t>
      </w:r>
      <w:r w:rsidR="008039E5" w:rsidRPr="00512BE3">
        <w:rPr>
          <w:rStyle w:val="normalchar"/>
          <w:sz w:val="22"/>
          <w:szCs w:val="22"/>
        </w:rPr>
        <w:t xml:space="preserve"> </w:t>
      </w:r>
      <w:r w:rsidRPr="00512BE3">
        <w:rPr>
          <w:rStyle w:val="normalchar"/>
          <w:sz w:val="22"/>
          <w:szCs w:val="22"/>
        </w:rPr>
        <w:t xml:space="preserve">Na dan 31.12.2022. godine u carinskom informacionom podsistemu ASYCUDA World je aktivno 167 kriterija selektiviteta, od čega je 163 opštih kriterija i četiri lokalna kriterija selektiviteta. Na osnovu relevantnih IOR-a urađeno je 65 Izvještaja o riziku, dostavljeno je šest Obavijesti o riziku nadležnim organizacionim jedinicama UIO, </w:t>
      </w:r>
      <w:r w:rsidR="00F22B31">
        <w:rPr>
          <w:rStyle w:val="normalchar"/>
          <w:sz w:val="22"/>
          <w:szCs w:val="22"/>
        </w:rPr>
        <w:t>i</w:t>
      </w:r>
      <w:r w:rsidRPr="00512BE3">
        <w:rPr>
          <w:rStyle w:val="normalchar"/>
          <w:sz w:val="22"/>
          <w:szCs w:val="22"/>
        </w:rPr>
        <w:t xml:space="preserve"> jedan Obavještajni obrazac</w:t>
      </w:r>
      <w:r w:rsidR="00F22B31">
        <w:rPr>
          <w:rStyle w:val="normalchar"/>
          <w:sz w:val="22"/>
          <w:szCs w:val="22"/>
        </w:rPr>
        <w:t>.</w:t>
      </w:r>
    </w:p>
    <w:p w14:paraId="60ED1DDD" w14:textId="66ECB380" w:rsidR="006B2529" w:rsidRPr="00512BE3" w:rsidRDefault="00052EE6" w:rsidP="008039E5">
      <w:pPr>
        <w:pStyle w:val="Normal1"/>
        <w:spacing w:before="0" w:beforeAutospacing="0" w:after="0" w:afterAutospacing="0"/>
        <w:ind w:firstLine="709"/>
        <w:jc w:val="both"/>
        <w:rPr>
          <w:rStyle w:val="list0020paragraphchar"/>
          <w:sz w:val="22"/>
          <w:szCs w:val="22"/>
        </w:rPr>
      </w:pPr>
      <w:r w:rsidRPr="00512BE3">
        <w:rPr>
          <w:rStyle w:val="normalchar"/>
          <w:sz w:val="22"/>
          <w:szCs w:val="22"/>
        </w:rPr>
        <w:t xml:space="preserve">U toku 2022. godine izvršena je evaluacija kriterija selektiviteta (izuzev jednog za koji se čeka stručno mišljenje) koji su preuzeti od Komisije za selektivitet i određeno je dalje postupanje sa tim kriterijima </w:t>
      </w:r>
      <w:r w:rsidRPr="001A2DBA">
        <w:rPr>
          <w:rStyle w:val="normalchar"/>
          <w:sz w:val="22"/>
          <w:szCs w:val="22"/>
        </w:rPr>
        <w:t>selektiviteta.</w:t>
      </w:r>
      <w:r w:rsidR="001A2DBA" w:rsidRPr="001A2DBA">
        <w:rPr>
          <w:rStyle w:val="normalchar"/>
          <w:sz w:val="22"/>
          <w:szCs w:val="22"/>
        </w:rPr>
        <w:t xml:space="preserve"> </w:t>
      </w:r>
      <w:r w:rsidR="00F22B31">
        <w:rPr>
          <w:rStyle w:val="normalchar"/>
          <w:sz w:val="22"/>
          <w:szCs w:val="22"/>
        </w:rPr>
        <w:t xml:space="preserve">Analiza rizika je učestvovala </w:t>
      </w:r>
      <w:r w:rsidR="006B2529" w:rsidRPr="00512BE3">
        <w:rPr>
          <w:rStyle w:val="list0020paragraphchar"/>
          <w:sz w:val="22"/>
          <w:szCs w:val="22"/>
        </w:rPr>
        <w:t>u izradi fiksnog dijela plana naknadnih carinskih kontrola za 2023. godinu, te su shodno Metodologiji pripreme godišnjeg plana naknadnih carinskih kontrola izvršene sljedeće aktivnosti</w:t>
      </w:r>
      <w:r w:rsidR="006B2529" w:rsidRPr="001A2DBA">
        <w:rPr>
          <w:rStyle w:val="list0020paragraphchar"/>
          <w:sz w:val="22"/>
          <w:szCs w:val="22"/>
        </w:rPr>
        <w:t>:</w:t>
      </w:r>
      <w:r w:rsidR="001526F8" w:rsidRPr="001A2DBA">
        <w:rPr>
          <w:rStyle w:val="list0020paragraphchar"/>
          <w:sz w:val="22"/>
          <w:szCs w:val="22"/>
        </w:rPr>
        <w:t xml:space="preserve"> e</w:t>
      </w:r>
      <w:r w:rsidR="006B2529" w:rsidRPr="001A2DBA">
        <w:rPr>
          <w:rStyle w:val="list0020paragraphchar"/>
          <w:sz w:val="22"/>
          <w:szCs w:val="22"/>
        </w:rPr>
        <w:t>valuacija</w:t>
      </w:r>
      <w:r w:rsidR="006B2529" w:rsidRPr="00512BE3">
        <w:rPr>
          <w:rStyle w:val="list0020paragraphchar"/>
          <w:sz w:val="22"/>
          <w:szCs w:val="22"/>
        </w:rPr>
        <w:t xml:space="preserve"> efikasnosti indikatora koji su korišteni za planiranje fiksnog dijela plana naknadnih carinskih kontrola u 2022. godini, priprema baze podataka sa svim relevantnim dostupnim podacima koja je poslužila kao osnov za analizu rizika, identifikacija prijedloga indikatora rizika na osnovu analiza baziranih  na rasploživim izvorima, analize prema utvrđenih 10 indikatora od ukupno 23 indikatora i selekciju carinskih obveznika za utvrđene indikatore rizika, sačinjena zbirna tabela svih indikatora dostavljenih od drugih nosilaca analize (grupe za kontrolu i Odsjek za kontrolu iz Sektora za carine) i izvršena je random selekcija obveznika za kontrolu.</w:t>
      </w:r>
    </w:p>
    <w:p w14:paraId="039F8027" w14:textId="5441E9A1" w:rsidR="0075029A" w:rsidRPr="00512BE3" w:rsidRDefault="008039E5" w:rsidP="007B6CB6">
      <w:pPr>
        <w:ind w:firstLine="708"/>
        <w:jc w:val="both"/>
        <w:rPr>
          <w:sz w:val="22"/>
          <w:szCs w:val="22"/>
        </w:rPr>
      </w:pPr>
      <w:r w:rsidRPr="00512BE3">
        <w:rPr>
          <w:sz w:val="22"/>
          <w:szCs w:val="22"/>
        </w:rPr>
        <w:t>P</w:t>
      </w:r>
      <w:r w:rsidR="00F22B31">
        <w:rPr>
          <w:sz w:val="22"/>
          <w:szCs w:val="22"/>
        </w:rPr>
        <w:t>rovedene su p</w:t>
      </w:r>
      <w:r w:rsidRPr="00512BE3">
        <w:rPr>
          <w:sz w:val="22"/>
          <w:szCs w:val="22"/>
        </w:rPr>
        <w:t>ripremne aktivnosti za izradu Strategije unapređenja poštovanja</w:t>
      </w:r>
      <w:r w:rsidR="00F776B0" w:rsidRPr="00512BE3">
        <w:rPr>
          <w:sz w:val="22"/>
          <w:szCs w:val="22"/>
        </w:rPr>
        <w:t xml:space="preserve"> propisa u oblasti i</w:t>
      </w:r>
      <w:r w:rsidRPr="00512BE3">
        <w:rPr>
          <w:sz w:val="22"/>
          <w:szCs w:val="22"/>
        </w:rPr>
        <w:t>ndirektnih poreza za period 2022. – 2024</w:t>
      </w:r>
      <w:r w:rsidR="00F22B31">
        <w:rPr>
          <w:sz w:val="22"/>
          <w:szCs w:val="22"/>
        </w:rPr>
        <w:t>. godina i</w:t>
      </w:r>
      <w:r w:rsidR="00034BCF" w:rsidRPr="00512BE3">
        <w:rPr>
          <w:sz w:val="22"/>
          <w:szCs w:val="22"/>
        </w:rPr>
        <w:t xml:space="preserve"> </w:t>
      </w:r>
      <w:r w:rsidRPr="00512BE3">
        <w:rPr>
          <w:sz w:val="22"/>
          <w:szCs w:val="22"/>
        </w:rPr>
        <w:t>izrađena je Metodologija za izradu Strategije unapređenja poštovanja propisa o indirektnom oporezivanju, čiji je osnovni cilj bolje razumijevanje procesa izrade i implementacije Strategije i namijenjen je rukovodiocima UIO, ali i ostalim zaposlenim koji su uključeni u realizaciju aktivnosti Akcionog plana Strategije; izrađen j</w:t>
      </w:r>
      <w:r w:rsidR="00CF5558">
        <w:rPr>
          <w:sz w:val="22"/>
          <w:szCs w:val="22"/>
        </w:rPr>
        <w:t xml:space="preserve">e opšti pregled rizika za 2022. </w:t>
      </w:r>
      <w:r w:rsidRPr="00512BE3">
        <w:rPr>
          <w:sz w:val="22"/>
          <w:szCs w:val="22"/>
        </w:rPr>
        <w:t>godinu, na osnovu kvantitativne analize internih i eksternih podataka, zaprimljenih podataka i informacija od drugih organizacionih jedinica, kao i rezultata istraživanja koje su sprovele druge organizacione jedinice; izvršena je procjena rizičnih segmenata za odabir prioritetnih oblasti u kojima će se provesti Program poštovanja propisa rizične oblasti; pripremljen je nacrt Strategije, u dvije verzije, od kojih je jedna namijenjena eksternim korisnicima, a druga verzija je namijenjena za službenu upotrebu; pripremljen je nacrt Akcionog plana Strategije, koji sadrži detaljan opis aktivnosti koje je potrebno provesti u narednom periodu, rokove i nosioce aktivnosti.</w:t>
      </w:r>
      <w:r w:rsidR="00123565" w:rsidRPr="00512BE3">
        <w:rPr>
          <w:sz w:val="22"/>
          <w:szCs w:val="22"/>
        </w:rPr>
        <w:t xml:space="preserve"> </w:t>
      </w:r>
      <w:r w:rsidR="0075029A" w:rsidRPr="00512BE3">
        <w:rPr>
          <w:sz w:val="22"/>
          <w:szCs w:val="22"/>
        </w:rPr>
        <w:t xml:space="preserve">U okviru realizacije aktivnosti Strategije unapređenja poštovanja propisa o indirektnom oprezivanju urađeno je sljedeće: izvršena je identifikacija lica koja prema podacima iz fiskalnih kasa dobijenim na osnovu Memoranduma o institucionalnoj saradnji, razmjeni i ustupanju podataka o poreskim obveznicima, u 2021. godini ostvaruju promet (poreska stopa A) preko 50.000 KM, a koja nisu obveznici sa stanovišta PDV-a; identifikovani su obveznici koji prema podacima iz entitetskih poreskih uprava nisu aktivni, a u Jedinstvenom registru obveznika indirektnih poreza imaju status aktivan, uz uslov da u toku prva tri mjeseca 2022. godine nisu iskazali isporuke u PDV prijavama; identifikovani su obveznici koji su registrovani u Jedinstvenom registru obveznika indirektnih poreza po osnovu PDV-a, a nisu podnosili PDV prijave u periodu 2101-2203; identifikovani su obveznici koji su u periodu 1701 – 2112 u svim poljima PDV prijave iskazali nule; identifikovani su obveznici koji nisu blagovremeno podnosili PDV prijave iz grupe velikih poreskih obveznika i ostalih poreskih obveznika koji su imali promet do 50.000 KM iz područja djelatnosti u kojima je utvrđena najveća stopa neblagovremenog podnošenja prijava, O - Javna uprava i odbrana; obavezno socijalno osiguranje, H2 - Vodeni i zračni prevoz, poštanske i kurirske djelatnosti, I2 - Djelatnost pripreme i usluživanja hrane i pića i C1 - Proizvodnja prehrambenih proizvoda, pića i duvanskih proizvoda, i koji su prestali sa radom; izvršena je Analiza PDV obveznika koji su u 2021. godini zahtijevali povrat/ kredit, za potrebe provođenja Programa poštovanja propisa u oblasti zahtijevanog povrata/kredita. Analiza je izrađena u cilju sagledavanja generalne slike u predmetnoj oblasti i kao polazna osnova za planiranje aktivnosti Programa. Vezano za predmetnu aktivnost identifikovani su  najrizičniji obveznici (100 obveznika) i dostavljeni Sektoru za poreze kao prijedlog za kontrolu. Izvršena je analiza uticaja </w:t>
      </w:r>
      <w:r w:rsidR="0075029A" w:rsidRPr="001A2DBA">
        <w:rPr>
          <w:sz w:val="22"/>
          <w:szCs w:val="22"/>
        </w:rPr>
        <w:t>komunikacije kako</w:t>
      </w:r>
      <w:r w:rsidR="0075029A" w:rsidRPr="00512BE3">
        <w:rPr>
          <w:sz w:val="22"/>
          <w:szCs w:val="22"/>
        </w:rPr>
        <w:t xml:space="preserve"> bi se na osnovu ključnih pokzatelja ispit</w:t>
      </w:r>
      <w:r w:rsidR="00F22B31">
        <w:rPr>
          <w:sz w:val="22"/>
          <w:szCs w:val="22"/>
        </w:rPr>
        <w:t>a</w:t>
      </w:r>
      <w:r w:rsidR="0075029A" w:rsidRPr="00512BE3">
        <w:rPr>
          <w:sz w:val="22"/>
          <w:szCs w:val="22"/>
        </w:rPr>
        <w:t xml:space="preserve">o uticaj informativne kampanje na ponašanje i nivo poštovanja propisa obveznika iz pomenute </w:t>
      </w:r>
      <w:r w:rsidR="0075029A" w:rsidRPr="00512BE3">
        <w:rPr>
          <w:sz w:val="22"/>
          <w:szCs w:val="22"/>
        </w:rPr>
        <w:lastRenderedPageBreak/>
        <w:t>grupe; u oblasti carina aktivnosti na provođenju Akcionog plana Strategije bile su posvećene unapređenju postupaka izrade analize rizika u pravcu poboljšanja identifikacije parametara selektiviteta, te unapređenju postupka evaluacije kriterija selektiviteta, što je rezultiralo smanjenim procentom carinskih deklaracija koje carinski informacioni sistem upućuje na crvenu traku selektiviteta, a koji je u decembru 2022. godine iznosio 28,7%.</w:t>
      </w:r>
    </w:p>
    <w:p w14:paraId="19041BFB" w14:textId="2F80BB00" w:rsidR="005F5E9F" w:rsidRPr="00512BE3" w:rsidRDefault="00F22B31" w:rsidP="007B6CB6">
      <w:pPr>
        <w:ind w:firstLine="709"/>
        <w:jc w:val="both"/>
        <w:rPr>
          <w:rStyle w:val="list0020paragraphchar"/>
          <w:sz w:val="22"/>
          <w:szCs w:val="22"/>
        </w:rPr>
      </w:pPr>
      <w:r>
        <w:rPr>
          <w:rStyle w:val="list0020paragraphchar"/>
          <w:sz w:val="22"/>
          <w:szCs w:val="22"/>
        </w:rPr>
        <w:t>O</w:t>
      </w:r>
      <w:r w:rsidR="0075029A" w:rsidRPr="00512BE3">
        <w:rPr>
          <w:rStyle w:val="list0020paragraphchar"/>
          <w:sz w:val="22"/>
          <w:szCs w:val="22"/>
        </w:rPr>
        <w:t>bavljanje redovnih poslova</w:t>
      </w:r>
      <w:r w:rsidR="005F5E9F" w:rsidRPr="00512BE3">
        <w:rPr>
          <w:rStyle w:val="list0020paragraphchar"/>
          <w:sz w:val="22"/>
          <w:szCs w:val="22"/>
        </w:rPr>
        <w:t xml:space="preserve"> </w:t>
      </w:r>
      <w:r>
        <w:rPr>
          <w:rStyle w:val="list0020paragraphchar"/>
          <w:sz w:val="22"/>
          <w:szCs w:val="22"/>
        </w:rPr>
        <w:t xml:space="preserve">u oblasti </w:t>
      </w:r>
      <w:r w:rsidR="0075029A" w:rsidRPr="00512BE3">
        <w:rPr>
          <w:rStyle w:val="list0020paragraphchar"/>
          <w:sz w:val="22"/>
          <w:szCs w:val="22"/>
        </w:rPr>
        <w:t>analiz</w:t>
      </w:r>
      <w:r>
        <w:rPr>
          <w:rStyle w:val="list0020paragraphchar"/>
          <w:sz w:val="22"/>
          <w:szCs w:val="22"/>
        </w:rPr>
        <w:t>e</w:t>
      </w:r>
      <w:r w:rsidR="0075029A" w:rsidRPr="00512BE3">
        <w:rPr>
          <w:rStyle w:val="list0020paragraphchar"/>
          <w:sz w:val="22"/>
          <w:szCs w:val="22"/>
        </w:rPr>
        <w:t xml:space="preserve"> i upravljanj</w:t>
      </w:r>
      <w:r>
        <w:rPr>
          <w:rStyle w:val="list0020paragraphchar"/>
          <w:sz w:val="22"/>
          <w:szCs w:val="22"/>
        </w:rPr>
        <w:t>a</w:t>
      </w:r>
      <w:r w:rsidR="0075029A" w:rsidRPr="00512BE3">
        <w:rPr>
          <w:rStyle w:val="list0020paragraphchar"/>
          <w:sz w:val="22"/>
          <w:szCs w:val="22"/>
        </w:rPr>
        <w:t xml:space="preserve"> rizicima</w:t>
      </w:r>
      <w:r w:rsidR="005F5E9F" w:rsidRPr="00512BE3">
        <w:rPr>
          <w:rStyle w:val="list0020paragraphchar"/>
          <w:sz w:val="22"/>
          <w:szCs w:val="22"/>
        </w:rPr>
        <w:t xml:space="preserve"> značajno </w:t>
      </w:r>
      <w:r>
        <w:rPr>
          <w:rStyle w:val="list0020paragraphchar"/>
          <w:sz w:val="22"/>
          <w:szCs w:val="22"/>
        </w:rPr>
        <w:t xml:space="preserve">je otežano usljed </w:t>
      </w:r>
      <w:r w:rsidR="0075029A" w:rsidRPr="00512BE3">
        <w:rPr>
          <w:rStyle w:val="list0020paragraphchar"/>
          <w:sz w:val="22"/>
          <w:szCs w:val="22"/>
        </w:rPr>
        <w:t>nedostat</w:t>
      </w:r>
      <w:r>
        <w:rPr>
          <w:rStyle w:val="list0020paragraphchar"/>
          <w:sz w:val="22"/>
          <w:szCs w:val="22"/>
        </w:rPr>
        <w:t>ka</w:t>
      </w:r>
      <w:r w:rsidR="0075029A" w:rsidRPr="00512BE3">
        <w:rPr>
          <w:rStyle w:val="list0020paragraphchar"/>
          <w:sz w:val="22"/>
          <w:szCs w:val="22"/>
        </w:rPr>
        <w:t xml:space="preserve"> zaposlenih</w:t>
      </w:r>
      <w:r>
        <w:rPr>
          <w:rStyle w:val="list0020paragraphchar"/>
          <w:sz w:val="22"/>
          <w:szCs w:val="22"/>
        </w:rPr>
        <w:t xml:space="preserve"> i adekvatnih</w:t>
      </w:r>
      <w:r w:rsidR="0075029A" w:rsidRPr="00512BE3">
        <w:rPr>
          <w:rStyle w:val="list0020paragraphchar"/>
          <w:sz w:val="22"/>
          <w:szCs w:val="22"/>
        </w:rPr>
        <w:t xml:space="preserve"> analitičkih alata koji predstavlja ozbiljno ograničenje u razvoju analize rizika u skladu sa rastućim potrebama i ciljevima.</w:t>
      </w:r>
    </w:p>
    <w:p w14:paraId="1C09CC57" w14:textId="77777777" w:rsidR="007B6CB6" w:rsidRPr="00512BE3" w:rsidRDefault="007B6CB6" w:rsidP="0075029A">
      <w:pPr>
        <w:spacing w:after="40"/>
        <w:ind w:firstLine="708"/>
        <w:jc w:val="both"/>
        <w:rPr>
          <w:rStyle w:val="list0020paragraphchar"/>
          <w:sz w:val="22"/>
          <w:szCs w:val="22"/>
        </w:rPr>
      </w:pPr>
    </w:p>
    <w:p w14:paraId="4DB22E6B" w14:textId="77777777" w:rsidR="00B978D1" w:rsidRPr="00512BE3" w:rsidRDefault="00E62618" w:rsidP="007B6CB6">
      <w:pPr>
        <w:pStyle w:val="Heading2"/>
        <w:spacing w:before="0"/>
        <w:ind w:left="720" w:hanging="578"/>
        <w:rPr>
          <w:color w:val="auto"/>
          <w:sz w:val="22"/>
          <w:szCs w:val="22"/>
          <w:lang w:val="bs-Latn-BA"/>
        </w:rPr>
      </w:pPr>
      <w:bookmarkStart w:id="12" w:name="_Toc95294152"/>
      <w:r w:rsidRPr="00512BE3">
        <w:rPr>
          <w:color w:val="auto"/>
          <w:lang w:val="sr-Latn-CS"/>
        </w:rPr>
        <w:t>Carinska kontrola</w:t>
      </w:r>
      <w:bookmarkEnd w:id="12"/>
    </w:p>
    <w:p w14:paraId="47ABAE97" w14:textId="61149046" w:rsidR="0013028A" w:rsidRPr="00512BE3" w:rsidRDefault="0013028A" w:rsidP="001804B6">
      <w:pPr>
        <w:spacing w:after="80" w:line="240" w:lineRule="atLeast"/>
        <w:ind w:firstLine="708"/>
        <w:jc w:val="both"/>
        <w:rPr>
          <w:sz w:val="27"/>
          <w:szCs w:val="27"/>
          <w:lang w:val="en-GB" w:eastAsia="en-GB"/>
        </w:rPr>
      </w:pPr>
      <w:r w:rsidRPr="00512BE3">
        <w:rPr>
          <w:sz w:val="22"/>
          <w:lang w:val="en-GB" w:eastAsia="en-GB"/>
        </w:rPr>
        <w:t>U izvještajnom periodu u obl</w:t>
      </w:r>
      <w:r w:rsidR="00B06CA6" w:rsidRPr="00512BE3">
        <w:rPr>
          <w:sz w:val="22"/>
          <w:lang w:val="en-GB" w:eastAsia="en-GB"/>
        </w:rPr>
        <w:t>asti carinske kontrole provedeno</w:t>
      </w:r>
      <w:r w:rsidR="00C93662" w:rsidRPr="00512BE3">
        <w:rPr>
          <w:sz w:val="22"/>
          <w:lang w:val="en-GB" w:eastAsia="en-GB"/>
        </w:rPr>
        <w:t xml:space="preserve"> </w:t>
      </w:r>
      <w:r w:rsidR="00B06CA6" w:rsidRPr="00512BE3">
        <w:rPr>
          <w:sz w:val="22"/>
          <w:lang w:val="en-GB" w:eastAsia="en-GB"/>
        </w:rPr>
        <w:t>je</w:t>
      </w:r>
      <w:r w:rsidRPr="00512BE3">
        <w:rPr>
          <w:sz w:val="22"/>
          <w:lang w:val="en-GB" w:eastAsia="en-GB"/>
        </w:rPr>
        <w:t xml:space="preserve"> ukupno </w:t>
      </w:r>
      <w:r w:rsidR="00C355AB" w:rsidRPr="00512BE3">
        <w:rPr>
          <w:sz w:val="22"/>
          <w:lang w:val="en-GB" w:eastAsia="en-GB"/>
        </w:rPr>
        <w:t>846</w:t>
      </w:r>
      <w:r w:rsidR="00B06CA6" w:rsidRPr="00512BE3">
        <w:rPr>
          <w:sz w:val="22"/>
          <w:lang w:val="en-GB" w:eastAsia="en-GB"/>
        </w:rPr>
        <w:t xml:space="preserve"> </w:t>
      </w:r>
      <w:r w:rsidR="00700F3D" w:rsidRPr="00512BE3">
        <w:rPr>
          <w:sz w:val="22"/>
          <w:lang w:val="en-GB" w:eastAsia="en-GB"/>
        </w:rPr>
        <w:t xml:space="preserve">naknadnih </w:t>
      </w:r>
      <w:r w:rsidR="00B06CA6" w:rsidRPr="00512BE3">
        <w:rPr>
          <w:sz w:val="22"/>
          <w:lang w:val="en-GB" w:eastAsia="en-GB"/>
        </w:rPr>
        <w:t>kontrola</w:t>
      </w:r>
      <w:r w:rsidRPr="00512BE3">
        <w:rPr>
          <w:sz w:val="22"/>
          <w:lang w:val="en-GB" w:eastAsia="en-GB"/>
        </w:rPr>
        <w:t xml:space="preserve">, </w:t>
      </w:r>
      <w:r w:rsidR="00B06CA6" w:rsidRPr="00512BE3">
        <w:rPr>
          <w:sz w:val="22"/>
          <w:lang w:val="en-GB" w:eastAsia="en-GB"/>
        </w:rPr>
        <w:t xml:space="preserve">što predstavlja </w:t>
      </w:r>
      <w:r w:rsidR="00C355AB" w:rsidRPr="00512BE3">
        <w:rPr>
          <w:sz w:val="22"/>
          <w:lang w:val="en-GB" w:eastAsia="en-GB"/>
        </w:rPr>
        <w:t>8</w:t>
      </w:r>
      <w:r w:rsidR="00B06CA6" w:rsidRPr="00512BE3">
        <w:rPr>
          <w:sz w:val="22"/>
          <w:lang w:val="en-GB" w:eastAsia="en-GB"/>
        </w:rPr>
        <w:t>5</w:t>
      </w:r>
      <w:r w:rsidRPr="00512BE3">
        <w:rPr>
          <w:sz w:val="22"/>
          <w:lang w:val="en-GB" w:eastAsia="en-GB"/>
        </w:rPr>
        <w:t>% realizacije plana kontrola (planirano 1000 kontrola) (</w:t>
      </w:r>
      <w:r w:rsidR="008B1C79" w:rsidRPr="00512BE3">
        <w:rPr>
          <w:i/>
          <w:iCs/>
          <w:sz w:val="22"/>
          <w:lang w:val="en-GB" w:eastAsia="en-GB"/>
        </w:rPr>
        <w:t>Tabela 6</w:t>
      </w:r>
      <w:r w:rsidRPr="00512BE3">
        <w:rPr>
          <w:sz w:val="22"/>
          <w:lang w:val="en-GB" w:eastAsia="en-GB"/>
        </w:rPr>
        <w:t>).</w:t>
      </w:r>
    </w:p>
    <w:p w14:paraId="2055AA07" w14:textId="451C817E" w:rsidR="0013028A" w:rsidRPr="00512BE3" w:rsidRDefault="008B1C79" w:rsidP="0095417A">
      <w:pPr>
        <w:jc w:val="both"/>
        <w:rPr>
          <w:sz w:val="22"/>
          <w:szCs w:val="22"/>
          <w:lang w:val="en-GB" w:eastAsia="en-GB"/>
        </w:rPr>
      </w:pPr>
      <w:r w:rsidRPr="00512BE3">
        <w:rPr>
          <w:b/>
          <w:bCs/>
          <w:i/>
          <w:iCs/>
          <w:sz w:val="22"/>
          <w:szCs w:val="22"/>
          <w:lang w:val="en-GB" w:eastAsia="en-GB"/>
        </w:rPr>
        <w:t>Tabela 6</w:t>
      </w:r>
      <w:r w:rsidR="0013028A" w:rsidRPr="00512BE3">
        <w:rPr>
          <w:b/>
          <w:bCs/>
          <w:i/>
          <w:iCs/>
          <w:sz w:val="22"/>
          <w:szCs w:val="22"/>
          <w:lang w:val="en-GB" w:eastAsia="en-GB"/>
        </w:rPr>
        <w:t>: R</w:t>
      </w:r>
      <w:r w:rsidR="00C355AB" w:rsidRPr="00512BE3">
        <w:rPr>
          <w:b/>
          <w:bCs/>
          <w:i/>
          <w:iCs/>
          <w:sz w:val="22"/>
          <w:szCs w:val="22"/>
          <w:lang w:val="en-GB" w:eastAsia="en-GB"/>
        </w:rPr>
        <w:t>ealizacija plana kontrola u 2022</w:t>
      </w:r>
      <w:r w:rsidR="0013028A" w:rsidRPr="00512BE3">
        <w:rPr>
          <w:b/>
          <w:bCs/>
          <w:i/>
          <w:iCs/>
          <w:sz w:val="22"/>
          <w:szCs w:val="22"/>
          <w:lang w:val="en-GB" w:eastAsia="en-GB"/>
        </w:rPr>
        <w:t>. godini</w:t>
      </w: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088"/>
        <w:gridCol w:w="2121"/>
        <w:gridCol w:w="2008"/>
        <w:gridCol w:w="1239"/>
      </w:tblGrid>
      <w:tr w:rsidR="00C355AB" w:rsidRPr="00512BE3" w14:paraId="0106508D" w14:textId="77777777" w:rsidTr="00924733">
        <w:trPr>
          <w:trHeight w:val="392"/>
        </w:trPr>
        <w:tc>
          <w:tcPr>
            <w:tcW w:w="548" w:type="dxa"/>
            <w:vMerge w:val="restart"/>
            <w:shd w:val="clear" w:color="auto" w:fill="DBE5F1"/>
            <w:vAlign w:val="center"/>
            <w:hideMark/>
          </w:tcPr>
          <w:p w14:paraId="3723F566" w14:textId="77777777" w:rsidR="00C355AB" w:rsidRPr="00512BE3" w:rsidRDefault="00C355AB" w:rsidP="00C355AB">
            <w:pPr>
              <w:jc w:val="center"/>
              <w:rPr>
                <w:b/>
                <w:bCs/>
                <w:sz w:val="18"/>
                <w:szCs w:val="18"/>
                <w:lang w:val="sr-Latn-BA" w:eastAsia="en-US"/>
              </w:rPr>
            </w:pPr>
            <w:bookmarkStart w:id="13" w:name="table08"/>
            <w:bookmarkEnd w:id="13"/>
            <w:r w:rsidRPr="00512BE3">
              <w:rPr>
                <w:b/>
                <w:bCs/>
                <w:sz w:val="18"/>
                <w:szCs w:val="18"/>
                <w:lang w:val="sr-Latn-BA" w:eastAsia="en-US"/>
              </w:rPr>
              <w:t>RB</w:t>
            </w:r>
          </w:p>
        </w:tc>
        <w:tc>
          <w:tcPr>
            <w:tcW w:w="3088" w:type="dxa"/>
            <w:vMerge w:val="restart"/>
            <w:shd w:val="clear" w:color="auto" w:fill="FF4747"/>
            <w:vAlign w:val="center"/>
            <w:hideMark/>
          </w:tcPr>
          <w:p w14:paraId="798A15A7" w14:textId="77777777" w:rsidR="00C355AB" w:rsidRPr="00512BE3" w:rsidRDefault="00C355AB" w:rsidP="00C355AB">
            <w:pPr>
              <w:jc w:val="center"/>
              <w:rPr>
                <w:b/>
                <w:bCs/>
                <w:sz w:val="18"/>
                <w:szCs w:val="18"/>
                <w:lang w:val="sr-Latn-BA" w:eastAsia="en-US"/>
              </w:rPr>
            </w:pPr>
            <w:r w:rsidRPr="00512BE3">
              <w:rPr>
                <w:b/>
                <w:bCs/>
                <w:sz w:val="18"/>
                <w:szCs w:val="18"/>
                <w:lang w:val="sr-Latn-BA" w:eastAsia="en-US"/>
              </w:rPr>
              <w:t>KONTROLA</w:t>
            </w:r>
          </w:p>
        </w:tc>
        <w:tc>
          <w:tcPr>
            <w:tcW w:w="4129" w:type="dxa"/>
            <w:gridSpan w:val="2"/>
            <w:shd w:val="clear" w:color="auto" w:fill="DBE5F1"/>
            <w:vAlign w:val="center"/>
            <w:hideMark/>
          </w:tcPr>
          <w:p w14:paraId="416DB26F" w14:textId="77777777" w:rsidR="00C355AB" w:rsidRPr="00512BE3" w:rsidRDefault="00C355AB" w:rsidP="00C355AB">
            <w:pPr>
              <w:jc w:val="center"/>
              <w:rPr>
                <w:b/>
                <w:bCs/>
                <w:sz w:val="18"/>
                <w:szCs w:val="18"/>
                <w:lang w:val="sr-Latn-BA" w:eastAsia="en-US"/>
              </w:rPr>
            </w:pPr>
            <w:r w:rsidRPr="00512BE3">
              <w:rPr>
                <w:b/>
                <w:bCs/>
                <w:sz w:val="18"/>
                <w:szCs w:val="18"/>
                <w:lang w:val="sr-Latn-BA" w:eastAsia="en-US"/>
              </w:rPr>
              <w:t>OSTVARENJE PLANA</w:t>
            </w:r>
          </w:p>
        </w:tc>
        <w:tc>
          <w:tcPr>
            <w:tcW w:w="1239" w:type="dxa"/>
            <w:vMerge w:val="restart"/>
            <w:shd w:val="clear" w:color="auto" w:fill="D7FDFD"/>
            <w:noWrap/>
            <w:vAlign w:val="center"/>
            <w:hideMark/>
          </w:tcPr>
          <w:p w14:paraId="28633573" w14:textId="77777777" w:rsidR="00C355AB" w:rsidRPr="00512BE3" w:rsidRDefault="00C355AB" w:rsidP="00C355AB">
            <w:pPr>
              <w:jc w:val="center"/>
              <w:rPr>
                <w:b/>
                <w:bCs/>
                <w:sz w:val="18"/>
                <w:szCs w:val="18"/>
                <w:lang w:val="sr-Latn-BA" w:eastAsia="en-US"/>
              </w:rPr>
            </w:pPr>
            <w:r w:rsidRPr="00512BE3">
              <w:rPr>
                <w:b/>
                <w:bCs/>
                <w:sz w:val="18"/>
                <w:szCs w:val="18"/>
                <w:lang w:val="sr-Latn-BA" w:eastAsia="en-US"/>
              </w:rPr>
              <w:t>P</w:t>
            </w:r>
            <w:r w:rsidRPr="00512BE3">
              <w:rPr>
                <w:b/>
                <w:bCs/>
                <w:sz w:val="18"/>
                <w:szCs w:val="18"/>
                <w:shd w:val="clear" w:color="auto" w:fill="D7FDFD"/>
                <w:lang w:val="sr-Latn-BA" w:eastAsia="en-US"/>
              </w:rPr>
              <w:t>ROCENA</w:t>
            </w:r>
            <w:r w:rsidRPr="00512BE3">
              <w:rPr>
                <w:b/>
                <w:bCs/>
                <w:sz w:val="18"/>
                <w:szCs w:val="18"/>
                <w:lang w:val="sr-Latn-BA" w:eastAsia="en-US"/>
              </w:rPr>
              <w:t>T</w:t>
            </w:r>
          </w:p>
        </w:tc>
      </w:tr>
      <w:tr w:rsidR="00C355AB" w:rsidRPr="00512BE3" w14:paraId="5AF30030" w14:textId="77777777" w:rsidTr="00924733">
        <w:trPr>
          <w:trHeight w:val="80"/>
        </w:trPr>
        <w:tc>
          <w:tcPr>
            <w:tcW w:w="548" w:type="dxa"/>
            <w:vMerge/>
            <w:shd w:val="clear" w:color="auto" w:fill="auto"/>
            <w:vAlign w:val="center"/>
            <w:hideMark/>
          </w:tcPr>
          <w:p w14:paraId="6A4CE78B" w14:textId="77777777" w:rsidR="00C355AB" w:rsidRPr="00512BE3" w:rsidRDefault="00C355AB" w:rsidP="00C355AB">
            <w:pPr>
              <w:jc w:val="center"/>
              <w:rPr>
                <w:bCs/>
                <w:sz w:val="18"/>
                <w:szCs w:val="18"/>
                <w:lang w:val="sr-Latn-BA" w:eastAsia="en-US"/>
              </w:rPr>
            </w:pPr>
          </w:p>
        </w:tc>
        <w:tc>
          <w:tcPr>
            <w:tcW w:w="3088" w:type="dxa"/>
            <w:vMerge/>
            <w:shd w:val="clear" w:color="auto" w:fill="FF4747"/>
            <w:vAlign w:val="center"/>
            <w:hideMark/>
          </w:tcPr>
          <w:p w14:paraId="235BB3CA" w14:textId="77777777" w:rsidR="00C355AB" w:rsidRPr="00512BE3" w:rsidRDefault="00C355AB" w:rsidP="00C355AB">
            <w:pPr>
              <w:rPr>
                <w:bCs/>
                <w:sz w:val="18"/>
                <w:szCs w:val="18"/>
                <w:lang w:val="sr-Latn-BA" w:eastAsia="en-US"/>
              </w:rPr>
            </w:pPr>
          </w:p>
        </w:tc>
        <w:tc>
          <w:tcPr>
            <w:tcW w:w="2121" w:type="dxa"/>
            <w:shd w:val="clear" w:color="auto" w:fill="FFFF00"/>
            <w:vAlign w:val="center"/>
            <w:hideMark/>
          </w:tcPr>
          <w:p w14:paraId="100D07BB" w14:textId="77777777" w:rsidR="00C355AB" w:rsidRPr="00512BE3" w:rsidRDefault="00C355AB" w:rsidP="00C355AB">
            <w:pPr>
              <w:jc w:val="center"/>
              <w:rPr>
                <w:b/>
                <w:bCs/>
                <w:sz w:val="18"/>
                <w:szCs w:val="18"/>
                <w:lang w:val="sr-Latn-BA" w:eastAsia="en-US"/>
              </w:rPr>
            </w:pPr>
            <w:r w:rsidRPr="00512BE3">
              <w:rPr>
                <w:b/>
                <w:bCs/>
                <w:sz w:val="18"/>
                <w:szCs w:val="18"/>
                <w:lang w:val="sr-Latn-BA" w:eastAsia="en-US"/>
              </w:rPr>
              <w:t>PLANIRANO 2022. g</w:t>
            </w:r>
          </w:p>
        </w:tc>
        <w:tc>
          <w:tcPr>
            <w:tcW w:w="2008" w:type="dxa"/>
            <w:shd w:val="clear" w:color="auto" w:fill="FFC000"/>
            <w:vAlign w:val="center"/>
            <w:hideMark/>
          </w:tcPr>
          <w:p w14:paraId="5EEE3F03" w14:textId="77777777" w:rsidR="00C355AB" w:rsidRPr="00512BE3" w:rsidRDefault="00C355AB" w:rsidP="00C355AB">
            <w:pPr>
              <w:jc w:val="center"/>
              <w:rPr>
                <w:b/>
                <w:bCs/>
                <w:sz w:val="18"/>
                <w:szCs w:val="18"/>
                <w:lang w:val="sr-Latn-BA" w:eastAsia="en-US"/>
              </w:rPr>
            </w:pPr>
            <w:r w:rsidRPr="00512BE3">
              <w:rPr>
                <w:b/>
                <w:bCs/>
                <w:sz w:val="18"/>
                <w:szCs w:val="18"/>
                <w:lang w:val="sr-Latn-BA" w:eastAsia="en-US"/>
              </w:rPr>
              <w:t>OSTVARENO 2022. g</w:t>
            </w:r>
          </w:p>
        </w:tc>
        <w:tc>
          <w:tcPr>
            <w:tcW w:w="1239" w:type="dxa"/>
            <w:vMerge/>
            <w:shd w:val="clear" w:color="auto" w:fill="D7FDFD"/>
            <w:noWrap/>
            <w:vAlign w:val="center"/>
            <w:hideMark/>
          </w:tcPr>
          <w:p w14:paraId="74F44B20" w14:textId="77777777" w:rsidR="00C355AB" w:rsidRPr="00512BE3" w:rsidRDefault="00C355AB" w:rsidP="00C355AB">
            <w:pPr>
              <w:jc w:val="center"/>
              <w:rPr>
                <w:bCs/>
                <w:sz w:val="18"/>
                <w:szCs w:val="18"/>
                <w:lang w:val="sr-Latn-BA" w:eastAsia="en-US"/>
              </w:rPr>
            </w:pPr>
          </w:p>
        </w:tc>
      </w:tr>
      <w:tr w:rsidR="00C355AB" w:rsidRPr="00512BE3" w14:paraId="6FDC49C9" w14:textId="77777777" w:rsidTr="00924733">
        <w:trPr>
          <w:trHeight w:val="312"/>
        </w:trPr>
        <w:tc>
          <w:tcPr>
            <w:tcW w:w="548" w:type="dxa"/>
            <w:shd w:val="clear" w:color="auto" w:fill="auto"/>
            <w:vAlign w:val="center"/>
            <w:hideMark/>
          </w:tcPr>
          <w:p w14:paraId="375B0B21" w14:textId="77777777" w:rsidR="00C355AB" w:rsidRPr="00512BE3" w:rsidRDefault="00C355AB" w:rsidP="00C355AB">
            <w:pPr>
              <w:jc w:val="center"/>
              <w:rPr>
                <w:bCs/>
                <w:sz w:val="18"/>
                <w:szCs w:val="18"/>
                <w:lang w:val="sr-Latn-BA" w:eastAsia="en-US"/>
              </w:rPr>
            </w:pPr>
            <w:r w:rsidRPr="00512BE3">
              <w:rPr>
                <w:bCs/>
                <w:sz w:val="18"/>
                <w:szCs w:val="18"/>
                <w:lang w:val="sr-Latn-BA" w:eastAsia="en-US"/>
              </w:rPr>
              <w:t>1</w:t>
            </w:r>
          </w:p>
        </w:tc>
        <w:tc>
          <w:tcPr>
            <w:tcW w:w="3088" w:type="dxa"/>
            <w:shd w:val="clear" w:color="auto" w:fill="auto"/>
            <w:vAlign w:val="center"/>
            <w:hideMark/>
          </w:tcPr>
          <w:p w14:paraId="24B04B95" w14:textId="688C4D58" w:rsidR="00C355AB" w:rsidRPr="00512BE3" w:rsidRDefault="00C355AB" w:rsidP="00C355AB">
            <w:pPr>
              <w:rPr>
                <w:b/>
                <w:sz w:val="18"/>
                <w:szCs w:val="18"/>
                <w:lang w:val="sr-Latn-BA" w:eastAsia="en-US"/>
              </w:rPr>
            </w:pPr>
            <w:r w:rsidRPr="00512BE3">
              <w:rPr>
                <w:b/>
                <w:sz w:val="18"/>
                <w:szCs w:val="18"/>
                <w:lang w:val="sr-Latn-BA" w:eastAsia="en-US"/>
              </w:rPr>
              <w:t>Fiksni dio plana za kontrolu</w:t>
            </w:r>
          </w:p>
        </w:tc>
        <w:tc>
          <w:tcPr>
            <w:tcW w:w="2121" w:type="dxa"/>
            <w:shd w:val="clear" w:color="auto" w:fill="auto"/>
            <w:vAlign w:val="center"/>
          </w:tcPr>
          <w:p w14:paraId="1A506614" w14:textId="77777777" w:rsidR="00C355AB" w:rsidRPr="00512BE3" w:rsidRDefault="00C355AB" w:rsidP="00C355AB">
            <w:pPr>
              <w:jc w:val="center"/>
              <w:rPr>
                <w:sz w:val="18"/>
                <w:szCs w:val="18"/>
                <w:lang w:val="sr-Latn-BA" w:eastAsia="en-US"/>
              </w:rPr>
            </w:pPr>
            <w:r w:rsidRPr="00512BE3">
              <w:rPr>
                <w:sz w:val="18"/>
                <w:szCs w:val="18"/>
                <w:lang w:val="sr-Latn-BA" w:eastAsia="en-US"/>
              </w:rPr>
              <w:t>600</w:t>
            </w:r>
          </w:p>
        </w:tc>
        <w:tc>
          <w:tcPr>
            <w:tcW w:w="2008" w:type="dxa"/>
            <w:shd w:val="clear" w:color="auto" w:fill="auto"/>
            <w:vAlign w:val="center"/>
          </w:tcPr>
          <w:p w14:paraId="1968C3AB" w14:textId="77777777" w:rsidR="00C355AB" w:rsidRPr="00512BE3" w:rsidRDefault="00C355AB" w:rsidP="00C355AB">
            <w:pPr>
              <w:jc w:val="center"/>
              <w:rPr>
                <w:sz w:val="18"/>
                <w:szCs w:val="18"/>
                <w:lang w:val="sr-Latn-BA" w:eastAsia="en-US"/>
              </w:rPr>
            </w:pPr>
            <w:r w:rsidRPr="00512BE3">
              <w:rPr>
                <w:sz w:val="18"/>
                <w:szCs w:val="18"/>
                <w:lang w:val="sr-Latn-BA" w:eastAsia="en-US"/>
              </w:rPr>
              <w:t>431</w:t>
            </w:r>
          </w:p>
        </w:tc>
        <w:tc>
          <w:tcPr>
            <w:tcW w:w="1239" w:type="dxa"/>
            <w:shd w:val="clear" w:color="auto" w:fill="auto"/>
            <w:noWrap/>
            <w:vAlign w:val="center"/>
          </w:tcPr>
          <w:p w14:paraId="632725A6" w14:textId="77777777" w:rsidR="00C355AB" w:rsidRPr="00512BE3" w:rsidRDefault="00C355AB" w:rsidP="00C355AB">
            <w:pPr>
              <w:jc w:val="center"/>
              <w:rPr>
                <w:color w:val="000000"/>
                <w:sz w:val="18"/>
                <w:szCs w:val="18"/>
                <w:lang w:val="sr-Latn-BA" w:eastAsia="en-US"/>
              </w:rPr>
            </w:pPr>
            <w:r w:rsidRPr="00512BE3">
              <w:rPr>
                <w:color w:val="000000"/>
                <w:sz w:val="18"/>
                <w:szCs w:val="18"/>
                <w:lang w:val="sr-Latn-BA" w:eastAsia="en-US"/>
              </w:rPr>
              <w:t>72%</w:t>
            </w:r>
          </w:p>
        </w:tc>
      </w:tr>
      <w:tr w:rsidR="00C355AB" w:rsidRPr="00512BE3" w14:paraId="32E56236" w14:textId="77777777" w:rsidTr="00924733">
        <w:trPr>
          <w:trHeight w:val="316"/>
        </w:trPr>
        <w:tc>
          <w:tcPr>
            <w:tcW w:w="548" w:type="dxa"/>
            <w:shd w:val="clear" w:color="auto" w:fill="auto"/>
            <w:vAlign w:val="center"/>
            <w:hideMark/>
          </w:tcPr>
          <w:p w14:paraId="7107A737" w14:textId="77777777" w:rsidR="00C355AB" w:rsidRPr="00512BE3" w:rsidRDefault="00C355AB" w:rsidP="00C355AB">
            <w:pPr>
              <w:jc w:val="center"/>
              <w:rPr>
                <w:bCs/>
                <w:sz w:val="18"/>
                <w:szCs w:val="18"/>
                <w:lang w:val="sr-Latn-BA" w:eastAsia="en-US"/>
              </w:rPr>
            </w:pPr>
            <w:r w:rsidRPr="00512BE3">
              <w:rPr>
                <w:bCs/>
                <w:sz w:val="18"/>
                <w:szCs w:val="18"/>
                <w:lang w:val="sr-Latn-BA" w:eastAsia="en-US"/>
              </w:rPr>
              <w:t>2</w:t>
            </w:r>
          </w:p>
        </w:tc>
        <w:tc>
          <w:tcPr>
            <w:tcW w:w="3088" w:type="dxa"/>
            <w:shd w:val="clear" w:color="auto" w:fill="auto"/>
            <w:vAlign w:val="center"/>
            <w:hideMark/>
          </w:tcPr>
          <w:p w14:paraId="179CFE34" w14:textId="2826087B" w:rsidR="00C355AB" w:rsidRPr="00512BE3" w:rsidRDefault="00C355AB" w:rsidP="00C355AB">
            <w:pPr>
              <w:rPr>
                <w:b/>
                <w:sz w:val="18"/>
                <w:szCs w:val="18"/>
                <w:lang w:val="sr-Latn-BA" w:eastAsia="en-US"/>
              </w:rPr>
            </w:pPr>
            <w:r w:rsidRPr="00512BE3">
              <w:rPr>
                <w:b/>
                <w:sz w:val="18"/>
                <w:szCs w:val="18"/>
                <w:lang w:val="sr-Latn-BA" w:eastAsia="en-US"/>
              </w:rPr>
              <w:t>Varijabilni dio plana za kontrolu</w:t>
            </w:r>
          </w:p>
        </w:tc>
        <w:tc>
          <w:tcPr>
            <w:tcW w:w="2121" w:type="dxa"/>
            <w:shd w:val="clear" w:color="auto" w:fill="auto"/>
            <w:vAlign w:val="center"/>
          </w:tcPr>
          <w:p w14:paraId="7CD0CA95" w14:textId="77777777" w:rsidR="00C355AB" w:rsidRPr="00512BE3" w:rsidRDefault="00C355AB" w:rsidP="00C355AB">
            <w:pPr>
              <w:jc w:val="center"/>
              <w:rPr>
                <w:sz w:val="18"/>
                <w:szCs w:val="18"/>
                <w:lang w:val="sr-Latn-BA" w:eastAsia="en-US"/>
              </w:rPr>
            </w:pPr>
            <w:r w:rsidRPr="00512BE3">
              <w:rPr>
                <w:sz w:val="18"/>
                <w:szCs w:val="18"/>
                <w:lang w:val="sr-Latn-BA" w:eastAsia="en-US"/>
              </w:rPr>
              <w:t>400</w:t>
            </w:r>
          </w:p>
        </w:tc>
        <w:tc>
          <w:tcPr>
            <w:tcW w:w="2008" w:type="dxa"/>
            <w:shd w:val="clear" w:color="auto" w:fill="auto"/>
            <w:vAlign w:val="center"/>
          </w:tcPr>
          <w:p w14:paraId="70F8B115" w14:textId="77777777" w:rsidR="00C355AB" w:rsidRPr="00512BE3" w:rsidRDefault="00C355AB" w:rsidP="00C355AB">
            <w:pPr>
              <w:jc w:val="center"/>
              <w:rPr>
                <w:sz w:val="18"/>
                <w:szCs w:val="18"/>
                <w:lang w:val="sr-Latn-BA" w:eastAsia="en-US"/>
              </w:rPr>
            </w:pPr>
            <w:r w:rsidRPr="00512BE3">
              <w:rPr>
                <w:sz w:val="18"/>
                <w:szCs w:val="18"/>
                <w:lang w:val="sr-Latn-BA" w:eastAsia="en-US"/>
              </w:rPr>
              <w:t>415</w:t>
            </w:r>
          </w:p>
        </w:tc>
        <w:tc>
          <w:tcPr>
            <w:tcW w:w="1239" w:type="dxa"/>
            <w:shd w:val="clear" w:color="auto" w:fill="auto"/>
            <w:noWrap/>
            <w:vAlign w:val="center"/>
          </w:tcPr>
          <w:p w14:paraId="0FAE75AF" w14:textId="77777777" w:rsidR="00C355AB" w:rsidRPr="00512BE3" w:rsidRDefault="00C355AB" w:rsidP="00C355AB">
            <w:pPr>
              <w:jc w:val="center"/>
              <w:rPr>
                <w:color w:val="000000"/>
                <w:sz w:val="18"/>
                <w:szCs w:val="18"/>
                <w:lang w:val="sr-Latn-BA" w:eastAsia="en-US"/>
              </w:rPr>
            </w:pPr>
            <w:r w:rsidRPr="00512BE3">
              <w:rPr>
                <w:color w:val="000000"/>
                <w:sz w:val="18"/>
                <w:szCs w:val="18"/>
                <w:lang w:val="sr-Latn-BA" w:eastAsia="en-US"/>
              </w:rPr>
              <w:t>104%</w:t>
            </w:r>
          </w:p>
        </w:tc>
      </w:tr>
      <w:tr w:rsidR="00C355AB" w:rsidRPr="00512BE3" w14:paraId="7C2492E4" w14:textId="77777777" w:rsidTr="00924733">
        <w:trPr>
          <w:trHeight w:val="480"/>
        </w:trPr>
        <w:tc>
          <w:tcPr>
            <w:tcW w:w="548" w:type="dxa"/>
            <w:shd w:val="clear" w:color="auto" w:fill="FFFFFF"/>
            <w:vAlign w:val="center"/>
            <w:hideMark/>
          </w:tcPr>
          <w:p w14:paraId="24F58ED4" w14:textId="77777777" w:rsidR="00C355AB" w:rsidRPr="00512BE3" w:rsidRDefault="00C355AB" w:rsidP="00C355AB">
            <w:pPr>
              <w:jc w:val="center"/>
              <w:rPr>
                <w:bCs/>
                <w:sz w:val="18"/>
                <w:szCs w:val="18"/>
                <w:lang w:val="sr-Latn-BA" w:eastAsia="en-US"/>
              </w:rPr>
            </w:pPr>
            <w:r w:rsidRPr="00512BE3">
              <w:rPr>
                <w:bCs/>
                <w:sz w:val="18"/>
                <w:szCs w:val="18"/>
                <w:lang w:val="sr-Latn-BA" w:eastAsia="en-US"/>
              </w:rPr>
              <w:t> </w:t>
            </w:r>
          </w:p>
        </w:tc>
        <w:tc>
          <w:tcPr>
            <w:tcW w:w="3088" w:type="dxa"/>
            <w:shd w:val="clear" w:color="auto" w:fill="E6FFFE"/>
            <w:vAlign w:val="center"/>
            <w:hideMark/>
          </w:tcPr>
          <w:p w14:paraId="7B75335A" w14:textId="77777777" w:rsidR="00C355AB" w:rsidRPr="00512BE3" w:rsidRDefault="00C355AB" w:rsidP="00C355AB">
            <w:pPr>
              <w:rPr>
                <w:b/>
                <w:bCs/>
                <w:sz w:val="18"/>
                <w:szCs w:val="18"/>
                <w:lang w:val="sr-Latn-BA" w:eastAsia="en-US"/>
              </w:rPr>
            </w:pPr>
            <w:r w:rsidRPr="00512BE3">
              <w:rPr>
                <w:b/>
                <w:bCs/>
                <w:sz w:val="18"/>
                <w:szCs w:val="18"/>
                <w:lang w:val="sr-Latn-BA" w:eastAsia="en-US"/>
              </w:rPr>
              <w:t>UKUPNO</w:t>
            </w:r>
          </w:p>
        </w:tc>
        <w:tc>
          <w:tcPr>
            <w:tcW w:w="2121" w:type="dxa"/>
            <w:shd w:val="clear" w:color="auto" w:fill="E6FFFE"/>
            <w:vAlign w:val="center"/>
          </w:tcPr>
          <w:p w14:paraId="5A4009D1" w14:textId="77777777" w:rsidR="00C355AB" w:rsidRPr="00512BE3" w:rsidRDefault="00C355AB" w:rsidP="00C355AB">
            <w:pPr>
              <w:jc w:val="center"/>
              <w:rPr>
                <w:b/>
                <w:sz w:val="18"/>
                <w:szCs w:val="18"/>
                <w:lang w:val="sr-Latn-BA" w:eastAsia="en-US"/>
              </w:rPr>
            </w:pPr>
            <w:r w:rsidRPr="00512BE3">
              <w:rPr>
                <w:b/>
                <w:sz w:val="18"/>
                <w:szCs w:val="18"/>
                <w:lang w:val="sr-Latn-BA" w:eastAsia="en-US"/>
              </w:rPr>
              <w:t>1.000</w:t>
            </w:r>
          </w:p>
        </w:tc>
        <w:tc>
          <w:tcPr>
            <w:tcW w:w="2008" w:type="dxa"/>
            <w:shd w:val="clear" w:color="auto" w:fill="E6FFFE"/>
            <w:vAlign w:val="center"/>
          </w:tcPr>
          <w:p w14:paraId="65C57628" w14:textId="77777777" w:rsidR="00C355AB" w:rsidRPr="00512BE3" w:rsidRDefault="00C355AB" w:rsidP="00C355AB">
            <w:pPr>
              <w:jc w:val="center"/>
              <w:rPr>
                <w:b/>
                <w:sz w:val="18"/>
                <w:szCs w:val="18"/>
                <w:lang w:val="sr-Latn-BA" w:eastAsia="en-US"/>
              </w:rPr>
            </w:pPr>
            <w:r w:rsidRPr="00512BE3">
              <w:rPr>
                <w:b/>
                <w:sz w:val="18"/>
                <w:szCs w:val="18"/>
                <w:lang w:val="sr-Latn-BA" w:eastAsia="en-US"/>
              </w:rPr>
              <w:t>846</w:t>
            </w:r>
          </w:p>
        </w:tc>
        <w:tc>
          <w:tcPr>
            <w:tcW w:w="1239" w:type="dxa"/>
            <w:shd w:val="clear" w:color="auto" w:fill="E6FFFE"/>
            <w:noWrap/>
            <w:vAlign w:val="center"/>
          </w:tcPr>
          <w:p w14:paraId="6352D790" w14:textId="77777777" w:rsidR="00C355AB" w:rsidRPr="00512BE3" w:rsidRDefault="00C355AB" w:rsidP="00C355AB">
            <w:pPr>
              <w:jc w:val="center"/>
              <w:rPr>
                <w:b/>
                <w:color w:val="000000"/>
                <w:sz w:val="18"/>
                <w:szCs w:val="18"/>
                <w:lang w:val="sr-Latn-BA" w:eastAsia="en-US"/>
              </w:rPr>
            </w:pPr>
            <w:r w:rsidRPr="00512BE3">
              <w:rPr>
                <w:b/>
                <w:color w:val="000000"/>
                <w:sz w:val="18"/>
                <w:szCs w:val="18"/>
                <w:lang w:val="sr-Latn-BA" w:eastAsia="en-US"/>
              </w:rPr>
              <w:t>85%</w:t>
            </w:r>
          </w:p>
        </w:tc>
      </w:tr>
    </w:tbl>
    <w:p w14:paraId="4D2EF0FE" w14:textId="77777777" w:rsidR="00924733" w:rsidRPr="00512BE3" w:rsidRDefault="00924733" w:rsidP="0095417A">
      <w:pPr>
        <w:ind w:firstLine="709"/>
        <w:jc w:val="both"/>
        <w:rPr>
          <w:sz w:val="22"/>
          <w:lang w:val="bs-Latn-BA" w:eastAsia="en-GB"/>
        </w:rPr>
      </w:pPr>
    </w:p>
    <w:p w14:paraId="4EEE74A8" w14:textId="219A41CD" w:rsidR="00034BCF" w:rsidRPr="00512BE3" w:rsidRDefault="00D950C2" w:rsidP="0095417A">
      <w:pPr>
        <w:ind w:firstLine="709"/>
        <w:jc w:val="both"/>
        <w:rPr>
          <w:color w:val="FF0000"/>
          <w:sz w:val="22"/>
          <w:lang w:val="bs-Latn-BA" w:eastAsia="en-GB"/>
        </w:rPr>
      </w:pPr>
      <w:r w:rsidRPr="00512BE3">
        <w:rPr>
          <w:sz w:val="22"/>
          <w:lang w:val="bs-Latn-BA" w:eastAsia="en-GB"/>
        </w:rPr>
        <w:t>U izvještajnom periodu</w:t>
      </w:r>
      <w:r w:rsidR="00424560" w:rsidRPr="00512BE3">
        <w:rPr>
          <w:sz w:val="22"/>
          <w:lang w:val="bs-Latn-BA" w:eastAsia="en-GB"/>
        </w:rPr>
        <w:t xml:space="preserve"> </w:t>
      </w:r>
      <w:r w:rsidR="00E10761" w:rsidRPr="00512BE3">
        <w:rPr>
          <w:sz w:val="22"/>
          <w:lang w:val="bs-Latn-BA" w:eastAsia="en-GB"/>
        </w:rPr>
        <w:t xml:space="preserve">ukupan broj </w:t>
      </w:r>
      <w:r w:rsidR="00F22B31">
        <w:rPr>
          <w:sz w:val="22"/>
          <w:lang w:val="bs-Latn-BA" w:eastAsia="en-GB"/>
        </w:rPr>
        <w:t xml:space="preserve">provedenih </w:t>
      </w:r>
      <w:r w:rsidR="00E10761" w:rsidRPr="00512BE3">
        <w:rPr>
          <w:sz w:val="22"/>
          <w:lang w:val="bs-Latn-BA" w:eastAsia="en-GB"/>
        </w:rPr>
        <w:t xml:space="preserve">kontrola manji </w:t>
      </w:r>
      <w:r w:rsidR="00F22B31">
        <w:rPr>
          <w:sz w:val="22"/>
          <w:lang w:val="bs-Latn-BA" w:eastAsia="en-GB"/>
        </w:rPr>
        <w:t xml:space="preserve">je </w:t>
      </w:r>
      <w:r w:rsidR="00E10761" w:rsidRPr="00512BE3">
        <w:rPr>
          <w:sz w:val="22"/>
          <w:lang w:val="bs-Latn-BA" w:eastAsia="en-GB"/>
        </w:rPr>
        <w:t xml:space="preserve">za </w:t>
      </w:r>
      <w:r w:rsidR="00C355AB" w:rsidRPr="00512BE3">
        <w:rPr>
          <w:sz w:val="22"/>
          <w:lang w:val="bs-Latn-BA" w:eastAsia="en-GB"/>
        </w:rPr>
        <w:t>154</w:t>
      </w:r>
      <w:r w:rsidR="003F667B">
        <w:rPr>
          <w:sz w:val="22"/>
          <w:lang w:val="bs-Latn-BA" w:eastAsia="en-GB"/>
        </w:rPr>
        <w:t xml:space="preserve"> kont</w:t>
      </w:r>
      <w:r w:rsidR="003F667B" w:rsidRPr="001A2DBA">
        <w:rPr>
          <w:sz w:val="22"/>
          <w:lang w:val="bs-Latn-BA" w:eastAsia="en-GB"/>
        </w:rPr>
        <w:t>role</w:t>
      </w:r>
      <w:r w:rsidR="00E10761" w:rsidRPr="00512BE3">
        <w:rPr>
          <w:sz w:val="22"/>
          <w:lang w:val="bs-Latn-BA" w:eastAsia="en-GB"/>
        </w:rPr>
        <w:t xml:space="preserve"> ili za </w:t>
      </w:r>
      <w:r w:rsidR="00C355AB" w:rsidRPr="00512BE3">
        <w:rPr>
          <w:sz w:val="22"/>
          <w:lang w:val="bs-Latn-BA" w:eastAsia="en-GB"/>
        </w:rPr>
        <w:t>15</w:t>
      </w:r>
      <w:r w:rsidR="00E10761" w:rsidRPr="00512BE3">
        <w:rPr>
          <w:sz w:val="22"/>
          <w:lang w:val="bs-Latn-BA" w:eastAsia="en-GB"/>
        </w:rPr>
        <w:t xml:space="preserve">% u odnosu na planirani, i to fiksnih-potpunih kontrola urađeno je manje u odnosu na planirano za </w:t>
      </w:r>
      <w:r w:rsidR="00C355AB" w:rsidRPr="00512BE3">
        <w:rPr>
          <w:sz w:val="22"/>
          <w:lang w:val="bs-Latn-BA" w:eastAsia="en-GB"/>
        </w:rPr>
        <w:t>169</w:t>
      </w:r>
      <w:r w:rsidR="00E10761" w:rsidRPr="00512BE3">
        <w:rPr>
          <w:sz w:val="22"/>
          <w:lang w:val="bs-Latn-BA" w:eastAsia="en-GB"/>
        </w:rPr>
        <w:t xml:space="preserve"> kontrola ili za 28%, dok je varijabilnih kontrola urađeno </w:t>
      </w:r>
      <w:r w:rsidR="00C355AB" w:rsidRPr="00512BE3">
        <w:rPr>
          <w:sz w:val="22"/>
          <w:lang w:val="bs-Latn-BA" w:eastAsia="en-GB"/>
        </w:rPr>
        <w:t>više</w:t>
      </w:r>
      <w:r w:rsidR="00E10761" w:rsidRPr="00512BE3">
        <w:rPr>
          <w:sz w:val="22"/>
          <w:lang w:val="bs-Latn-BA" w:eastAsia="en-GB"/>
        </w:rPr>
        <w:t xml:space="preserve"> u odnosu na planirano za </w:t>
      </w:r>
      <w:r w:rsidR="00C355AB" w:rsidRPr="00512BE3">
        <w:rPr>
          <w:sz w:val="22"/>
          <w:lang w:val="bs-Latn-BA" w:eastAsia="en-GB"/>
        </w:rPr>
        <w:t>15 kontrola</w:t>
      </w:r>
      <w:r w:rsidR="00E10761" w:rsidRPr="00512BE3">
        <w:rPr>
          <w:sz w:val="22"/>
          <w:lang w:val="bs-Latn-BA" w:eastAsia="en-GB"/>
        </w:rPr>
        <w:t xml:space="preserve"> ili za </w:t>
      </w:r>
      <w:r w:rsidR="00C355AB" w:rsidRPr="00512BE3">
        <w:rPr>
          <w:sz w:val="22"/>
          <w:lang w:val="bs-Latn-BA" w:eastAsia="en-GB"/>
        </w:rPr>
        <w:t>4</w:t>
      </w:r>
      <w:r w:rsidR="00E10761" w:rsidRPr="00512BE3">
        <w:rPr>
          <w:sz w:val="22"/>
          <w:lang w:val="bs-Latn-BA" w:eastAsia="en-GB"/>
        </w:rPr>
        <w:t>%.</w:t>
      </w:r>
      <w:r w:rsidR="00424560" w:rsidRPr="00512BE3">
        <w:rPr>
          <w:sz w:val="22"/>
          <w:lang w:val="bs-Latn-BA" w:eastAsia="en-GB"/>
        </w:rPr>
        <w:t xml:space="preserve"> </w:t>
      </w:r>
    </w:p>
    <w:p w14:paraId="2CFE2B2C" w14:textId="22A55E5C" w:rsidR="00677F40" w:rsidRPr="00512BE3" w:rsidRDefault="00E10761" w:rsidP="00677F40">
      <w:pPr>
        <w:spacing w:after="80" w:line="240" w:lineRule="atLeast"/>
        <w:jc w:val="both"/>
        <w:rPr>
          <w:sz w:val="27"/>
          <w:szCs w:val="27"/>
          <w:lang w:val="en-GB" w:eastAsia="en-GB"/>
        </w:rPr>
      </w:pPr>
      <w:r w:rsidRPr="00512BE3">
        <w:rPr>
          <w:b/>
          <w:bCs/>
          <w:i/>
          <w:iCs/>
          <w:sz w:val="22"/>
          <w:lang w:val="en-GB" w:eastAsia="en-GB"/>
        </w:rPr>
        <w:t xml:space="preserve">Tabela </w:t>
      </w:r>
      <w:r w:rsidR="00D950C2" w:rsidRPr="00512BE3">
        <w:rPr>
          <w:b/>
          <w:bCs/>
          <w:i/>
          <w:iCs/>
          <w:sz w:val="22"/>
          <w:lang w:val="en-GB" w:eastAsia="en-GB"/>
        </w:rPr>
        <w:t>7</w:t>
      </w:r>
      <w:r w:rsidR="00A64767" w:rsidRPr="00512BE3">
        <w:rPr>
          <w:b/>
          <w:bCs/>
          <w:i/>
          <w:iCs/>
          <w:sz w:val="22"/>
          <w:lang w:val="en-GB" w:eastAsia="en-GB"/>
        </w:rPr>
        <w:t>: Naknadna naplata u postupku carins</w:t>
      </w:r>
      <w:r w:rsidR="008D0263" w:rsidRPr="00512BE3">
        <w:rPr>
          <w:b/>
          <w:bCs/>
          <w:i/>
          <w:iCs/>
          <w:sz w:val="22"/>
          <w:lang w:val="en-GB" w:eastAsia="en-GB"/>
        </w:rPr>
        <w:t>ke kontrole u 202</w:t>
      </w:r>
      <w:r w:rsidR="00C355AB" w:rsidRPr="00512BE3">
        <w:rPr>
          <w:b/>
          <w:bCs/>
          <w:i/>
          <w:iCs/>
          <w:sz w:val="22"/>
          <w:lang w:val="en-GB" w:eastAsia="en-GB"/>
        </w:rPr>
        <w:t>2</w:t>
      </w:r>
      <w:r w:rsidR="00A64767" w:rsidRPr="00512BE3">
        <w:rPr>
          <w:b/>
          <w:bCs/>
          <w:i/>
          <w:iCs/>
          <w:sz w:val="22"/>
          <w:lang w:val="en-GB" w:eastAsia="en-GB"/>
        </w:rPr>
        <w:t>. godini</w:t>
      </w:r>
      <w:bookmarkStart w:id="14" w:name="table09"/>
      <w:bookmarkEnd w:id="14"/>
    </w:p>
    <w:p w14:paraId="553A8431" w14:textId="4FC60C87" w:rsidR="00D707E6" w:rsidRPr="00512BE3" w:rsidRDefault="00C355AB" w:rsidP="00924733">
      <w:pPr>
        <w:tabs>
          <w:tab w:val="left" w:pos="1155"/>
        </w:tabs>
        <w:jc w:val="both"/>
        <w:rPr>
          <w:sz w:val="22"/>
          <w:szCs w:val="22"/>
          <w:lang w:eastAsia="en-US"/>
        </w:rPr>
      </w:pPr>
      <w:r w:rsidRPr="00512BE3">
        <w:rPr>
          <w:noProof/>
          <w:lang w:val="bs-Latn-BA" w:eastAsia="bs-Latn-BA"/>
        </w:rPr>
        <w:drawing>
          <wp:inline distT="0" distB="0" distL="0" distR="0" wp14:anchorId="0BC98F62" wp14:editId="59E13EE9">
            <wp:extent cx="5749925" cy="1619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684" cy="1647625"/>
                    </a:xfrm>
                    <a:prstGeom prst="rect">
                      <a:avLst/>
                    </a:prstGeom>
                    <a:noFill/>
                    <a:ln>
                      <a:noFill/>
                    </a:ln>
                  </pic:spPr>
                </pic:pic>
              </a:graphicData>
            </a:graphic>
          </wp:inline>
        </w:drawing>
      </w:r>
    </w:p>
    <w:p w14:paraId="1C7950C3" w14:textId="77777777" w:rsidR="00924733" w:rsidRPr="00512BE3" w:rsidRDefault="00924733" w:rsidP="0095417A">
      <w:pPr>
        <w:tabs>
          <w:tab w:val="left" w:pos="1155"/>
        </w:tabs>
        <w:ind w:firstLine="1157"/>
        <w:jc w:val="both"/>
        <w:rPr>
          <w:sz w:val="22"/>
          <w:szCs w:val="22"/>
          <w:lang w:eastAsia="en-US"/>
        </w:rPr>
      </w:pPr>
    </w:p>
    <w:p w14:paraId="4FFD5649" w14:textId="611C2C82" w:rsidR="003B2F16" w:rsidRPr="00512BE3" w:rsidRDefault="000B2661" w:rsidP="000B2661">
      <w:pPr>
        <w:tabs>
          <w:tab w:val="left" w:pos="1155"/>
        </w:tabs>
        <w:jc w:val="both"/>
        <w:rPr>
          <w:sz w:val="22"/>
          <w:szCs w:val="22"/>
          <w:lang w:val="bs-Latn-BA" w:eastAsia="en-US"/>
        </w:rPr>
      </w:pPr>
      <w:r>
        <w:rPr>
          <w:sz w:val="22"/>
          <w:szCs w:val="22"/>
          <w:lang w:eastAsia="en-US"/>
        </w:rPr>
        <w:t>Analizirajući efekte provedenih kontrola</w:t>
      </w:r>
      <w:r w:rsidR="00677F40" w:rsidRPr="00512BE3">
        <w:rPr>
          <w:sz w:val="22"/>
          <w:szCs w:val="22"/>
          <w:lang w:eastAsia="en-US"/>
        </w:rPr>
        <w:t xml:space="preserve"> evidentno je </w:t>
      </w:r>
      <w:r>
        <w:rPr>
          <w:sz w:val="22"/>
          <w:szCs w:val="22"/>
          <w:lang w:eastAsia="en-US"/>
        </w:rPr>
        <w:t xml:space="preserve">da je </w:t>
      </w:r>
      <w:r w:rsidR="00677F40" w:rsidRPr="00512BE3">
        <w:rPr>
          <w:sz w:val="22"/>
          <w:szCs w:val="22"/>
          <w:lang w:eastAsia="en-US"/>
        </w:rPr>
        <w:t>najveće ostvarenje naknadne naplate, od ukupno naplaćenog iznosa</w:t>
      </w:r>
      <w:r w:rsidR="00F633EB" w:rsidRPr="00512BE3">
        <w:t xml:space="preserve"> </w:t>
      </w:r>
      <w:r>
        <w:t>ostvaren u</w:t>
      </w:r>
      <w:r w:rsidR="00F633EB" w:rsidRPr="00512BE3">
        <w:rPr>
          <w:sz w:val="22"/>
          <w:szCs w:val="22"/>
          <w:lang w:eastAsia="en-US"/>
        </w:rPr>
        <w:t xml:space="preserve"> RC Banja Luka sa 103%, RC Tuzla sa 87%, RC Mostar 84% i </w:t>
      </w:r>
      <w:r>
        <w:rPr>
          <w:sz w:val="22"/>
          <w:szCs w:val="22"/>
          <w:lang w:eastAsia="en-US"/>
        </w:rPr>
        <w:t xml:space="preserve">u </w:t>
      </w:r>
      <w:r w:rsidR="00F633EB" w:rsidRPr="00512BE3">
        <w:rPr>
          <w:sz w:val="22"/>
          <w:szCs w:val="22"/>
          <w:lang w:eastAsia="en-US"/>
        </w:rPr>
        <w:t>RC Sarajevo sa 62%</w:t>
      </w:r>
      <w:r w:rsidR="00677F40" w:rsidRPr="00512BE3">
        <w:rPr>
          <w:sz w:val="22"/>
          <w:szCs w:val="22"/>
          <w:lang w:eastAsia="en-US"/>
        </w:rPr>
        <w:t xml:space="preserve">. </w:t>
      </w:r>
      <w:r>
        <w:rPr>
          <w:sz w:val="22"/>
          <w:szCs w:val="22"/>
          <w:lang w:eastAsia="en-US"/>
        </w:rPr>
        <w:t xml:space="preserve">Ostvarena je </w:t>
      </w:r>
      <w:r w:rsidR="00677F40" w:rsidRPr="00512BE3">
        <w:rPr>
          <w:sz w:val="22"/>
          <w:szCs w:val="22"/>
          <w:lang w:val="bs-Latn-BA" w:eastAsia="en-US"/>
        </w:rPr>
        <w:t xml:space="preserve">naknadna naplata u </w:t>
      </w:r>
      <w:r>
        <w:rPr>
          <w:sz w:val="22"/>
          <w:szCs w:val="22"/>
          <w:lang w:val="bs-Latn-BA" w:eastAsia="en-US"/>
        </w:rPr>
        <w:t xml:space="preserve">carinskoj kontroli u ukupnom </w:t>
      </w:r>
      <w:r w:rsidR="00677F40" w:rsidRPr="00512BE3">
        <w:rPr>
          <w:sz w:val="22"/>
          <w:szCs w:val="22"/>
          <w:lang w:val="bs-Latn-BA" w:eastAsia="en-US"/>
        </w:rPr>
        <w:t xml:space="preserve">iznosu </w:t>
      </w:r>
      <w:r>
        <w:rPr>
          <w:sz w:val="22"/>
          <w:szCs w:val="22"/>
          <w:lang w:val="bs-Latn-BA" w:eastAsia="en-US"/>
        </w:rPr>
        <w:t xml:space="preserve">od </w:t>
      </w:r>
      <w:r w:rsidR="00F633EB" w:rsidRPr="00512BE3">
        <w:rPr>
          <w:sz w:val="22"/>
          <w:szCs w:val="22"/>
          <w:lang w:val="bs-Latn-BA" w:eastAsia="en-US"/>
        </w:rPr>
        <w:t xml:space="preserve"> 2.076.699,83 KM što je za 22% manje u odnosu na predloženi iznos naplate, ili za 572.981,14 KM.</w:t>
      </w:r>
    </w:p>
    <w:p w14:paraId="28873F09" w14:textId="512A7339" w:rsidR="00A64767" w:rsidRPr="00512BE3" w:rsidRDefault="00E10761" w:rsidP="00A64767">
      <w:pPr>
        <w:spacing w:after="80" w:line="240" w:lineRule="atLeast"/>
        <w:jc w:val="both"/>
        <w:rPr>
          <w:sz w:val="22"/>
          <w:szCs w:val="22"/>
          <w:lang w:val="en-GB" w:eastAsia="en-GB"/>
        </w:rPr>
      </w:pPr>
      <w:r w:rsidRPr="00512BE3">
        <w:rPr>
          <w:b/>
          <w:bCs/>
          <w:i/>
          <w:iCs/>
          <w:sz w:val="22"/>
          <w:szCs w:val="22"/>
          <w:lang w:val="en-GB" w:eastAsia="en-GB"/>
        </w:rPr>
        <w:t xml:space="preserve">Tabela </w:t>
      </w:r>
      <w:r w:rsidR="00D950C2" w:rsidRPr="00512BE3">
        <w:rPr>
          <w:b/>
          <w:bCs/>
          <w:i/>
          <w:iCs/>
          <w:sz w:val="22"/>
          <w:szCs w:val="22"/>
          <w:lang w:val="en-GB" w:eastAsia="en-GB"/>
        </w:rPr>
        <w:t>8</w:t>
      </w:r>
      <w:r w:rsidR="00A64767" w:rsidRPr="00512BE3">
        <w:rPr>
          <w:b/>
          <w:bCs/>
          <w:i/>
          <w:iCs/>
          <w:sz w:val="22"/>
          <w:szCs w:val="22"/>
          <w:lang w:val="en-GB" w:eastAsia="en-GB"/>
        </w:rPr>
        <w:t>: Komparativni prikaz naknadne naplate u</w:t>
      </w:r>
      <w:r w:rsidR="003A01E1" w:rsidRPr="00512BE3">
        <w:rPr>
          <w:b/>
          <w:bCs/>
          <w:i/>
          <w:iCs/>
          <w:sz w:val="22"/>
          <w:szCs w:val="22"/>
          <w:lang w:val="en-GB" w:eastAsia="en-GB"/>
        </w:rPr>
        <w:t xml:space="preserve"> postupku carinske kontrole 2021</w:t>
      </w:r>
      <w:r w:rsidR="0010481F" w:rsidRPr="00512BE3">
        <w:rPr>
          <w:b/>
          <w:bCs/>
          <w:i/>
          <w:iCs/>
          <w:sz w:val="22"/>
          <w:szCs w:val="22"/>
          <w:lang w:val="en-GB" w:eastAsia="en-GB"/>
        </w:rPr>
        <w:t>/202</w:t>
      </w:r>
      <w:r w:rsidR="003A01E1" w:rsidRPr="00512BE3">
        <w:rPr>
          <w:b/>
          <w:bCs/>
          <w:i/>
          <w:iCs/>
          <w:sz w:val="22"/>
          <w:szCs w:val="22"/>
          <w:lang w:val="en-GB" w:eastAsia="en-GB"/>
        </w:rPr>
        <w:t>2</w:t>
      </w:r>
      <w:r w:rsidR="00A64767" w:rsidRPr="00512BE3">
        <w:rPr>
          <w:b/>
          <w:bCs/>
          <w:i/>
          <w:iCs/>
          <w:sz w:val="22"/>
          <w:szCs w:val="22"/>
          <w:lang w:val="en-GB" w:eastAsia="en-GB"/>
        </w:rPr>
        <w:t>. godina</w:t>
      </w:r>
      <w:r w:rsidR="00924733" w:rsidRPr="00512BE3">
        <w:rPr>
          <w:noProof/>
          <w:lang w:val="bs-Latn-BA" w:eastAsia="bs-Latn-BA"/>
        </w:rPr>
        <w:drawing>
          <wp:inline distT="0" distB="0" distL="0" distR="0" wp14:anchorId="73428314" wp14:editId="226F68DA">
            <wp:extent cx="5711190" cy="119062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662" cy="1190723"/>
                    </a:xfrm>
                    <a:prstGeom prst="rect">
                      <a:avLst/>
                    </a:prstGeom>
                    <a:noFill/>
                    <a:ln>
                      <a:noFill/>
                    </a:ln>
                  </pic:spPr>
                </pic:pic>
              </a:graphicData>
            </a:graphic>
          </wp:inline>
        </w:drawing>
      </w:r>
    </w:p>
    <w:p w14:paraId="7F6B182A" w14:textId="3C8D4394" w:rsidR="00DA1F4B" w:rsidRPr="00512BE3" w:rsidRDefault="000B2661" w:rsidP="007B6CB6">
      <w:pPr>
        <w:jc w:val="both"/>
        <w:rPr>
          <w:sz w:val="22"/>
          <w:szCs w:val="22"/>
          <w:lang w:val="bs-Latn-BA" w:eastAsia="en-US"/>
        </w:rPr>
      </w:pPr>
      <w:bookmarkStart w:id="15" w:name="table0A"/>
      <w:bookmarkEnd w:id="15"/>
      <w:r>
        <w:rPr>
          <w:sz w:val="22"/>
          <w:szCs w:val="22"/>
          <w:lang w:val="bs-Latn-BA" w:eastAsia="en-US"/>
        </w:rPr>
        <w:t xml:space="preserve">Nivo naknadne naplate ostvarene u 2022. godini </w:t>
      </w:r>
      <w:r w:rsidR="00F633EB" w:rsidRPr="00512BE3">
        <w:rPr>
          <w:sz w:val="22"/>
          <w:szCs w:val="22"/>
          <w:lang w:val="bs-Latn-BA" w:eastAsia="en-US"/>
        </w:rPr>
        <w:t>u iznosu 2.</w:t>
      </w:r>
      <w:r w:rsidR="00C26161">
        <w:rPr>
          <w:sz w:val="22"/>
          <w:szCs w:val="22"/>
          <w:lang w:val="bs-Latn-BA" w:eastAsia="en-US"/>
        </w:rPr>
        <w:t>076.827,33 KM čini povećanje za 18</w:t>
      </w:r>
      <w:r w:rsidR="00F633EB" w:rsidRPr="00512BE3">
        <w:rPr>
          <w:sz w:val="22"/>
          <w:szCs w:val="22"/>
          <w:lang w:val="bs-Latn-BA" w:eastAsia="en-US"/>
        </w:rPr>
        <w:t>1</w:t>
      </w:r>
      <w:r w:rsidR="00924733" w:rsidRPr="00512BE3">
        <w:rPr>
          <w:sz w:val="22"/>
          <w:szCs w:val="22"/>
          <w:lang w:val="bs-Latn-BA" w:eastAsia="en-US"/>
        </w:rPr>
        <w:t>%</w:t>
      </w:r>
      <w:r w:rsidR="00F633EB" w:rsidRPr="00512BE3">
        <w:rPr>
          <w:sz w:val="22"/>
          <w:szCs w:val="22"/>
          <w:lang w:val="bs-Latn-BA" w:eastAsia="en-US"/>
        </w:rPr>
        <w:t xml:space="preserve"> u odnosu na ostvaren</w:t>
      </w:r>
      <w:r>
        <w:rPr>
          <w:sz w:val="22"/>
          <w:szCs w:val="22"/>
          <w:lang w:val="bs-Latn-BA" w:eastAsia="en-US"/>
        </w:rPr>
        <w:t>i nivo naplate u 2021. godini, odnosno</w:t>
      </w:r>
      <w:r w:rsidR="00F633EB" w:rsidRPr="00512BE3">
        <w:rPr>
          <w:sz w:val="22"/>
          <w:szCs w:val="22"/>
          <w:lang w:val="bs-Latn-BA" w:eastAsia="en-US"/>
        </w:rPr>
        <w:t xml:space="preserve"> za 1.336.953,50 KM.</w:t>
      </w:r>
      <w:r w:rsidR="00132A5B" w:rsidRPr="00512BE3">
        <w:rPr>
          <w:sz w:val="22"/>
          <w:szCs w:val="22"/>
          <w:lang w:val="bs-Latn-BA" w:eastAsia="en-US"/>
        </w:rPr>
        <w:t xml:space="preserve"> </w:t>
      </w:r>
      <w:r w:rsidR="00DA1F4B" w:rsidRPr="00512BE3">
        <w:rPr>
          <w:sz w:val="22"/>
          <w:szCs w:val="22"/>
          <w:lang w:eastAsia="en-US"/>
        </w:rPr>
        <w:t>Grupe za kontrolu, po izvršenim kontrolama i sačinjenim zapisnicima, pokrenule su 1</w:t>
      </w:r>
      <w:r w:rsidR="00924733" w:rsidRPr="00512BE3">
        <w:rPr>
          <w:sz w:val="22"/>
          <w:szCs w:val="22"/>
          <w:lang w:eastAsia="en-US"/>
        </w:rPr>
        <w:t>.</w:t>
      </w:r>
      <w:r w:rsidR="00F633EB" w:rsidRPr="00512BE3">
        <w:rPr>
          <w:sz w:val="22"/>
          <w:szCs w:val="22"/>
          <w:lang w:eastAsia="en-US"/>
        </w:rPr>
        <w:t>758</w:t>
      </w:r>
      <w:r w:rsidR="00DA1F4B" w:rsidRPr="00512BE3">
        <w:rPr>
          <w:sz w:val="22"/>
          <w:szCs w:val="22"/>
          <w:lang w:eastAsia="en-US"/>
        </w:rPr>
        <w:t xml:space="preserve"> prijedloga </w:t>
      </w:r>
      <w:r w:rsidR="00F633EB" w:rsidRPr="00512BE3">
        <w:rPr>
          <w:sz w:val="22"/>
          <w:szCs w:val="22"/>
          <w:lang w:eastAsia="en-US"/>
        </w:rPr>
        <w:t>za naknadnu naplatu, p</w:t>
      </w:r>
      <w:r>
        <w:rPr>
          <w:sz w:val="22"/>
          <w:szCs w:val="22"/>
          <w:lang w:eastAsia="en-US"/>
        </w:rPr>
        <w:t xml:space="preserve">rovele </w:t>
      </w:r>
      <w:r w:rsidR="00F633EB" w:rsidRPr="00512BE3">
        <w:rPr>
          <w:sz w:val="22"/>
          <w:szCs w:val="22"/>
          <w:lang w:eastAsia="en-US"/>
        </w:rPr>
        <w:t>1</w:t>
      </w:r>
      <w:r w:rsidR="00924733" w:rsidRPr="00512BE3">
        <w:rPr>
          <w:sz w:val="22"/>
          <w:szCs w:val="22"/>
          <w:lang w:eastAsia="en-US"/>
        </w:rPr>
        <w:t>.</w:t>
      </w:r>
      <w:r w:rsidR="00F633EB" w:rsidRPr="00512BE3">
        <w:rPr>
          <w:sz w:val="22"/>
          <w:szCs w:val="22"/>
          <w:lang w:eastAsia="en-US"/>
        </w:rPr>
        <w:t>879</w:t>
      </w:r>
      <w:r w:rsidR="00DA1F4B" w:rsidRPr="00512BE3">
        <w:rPr>
          <w:sz w:val="22"/>
          <w:szCs w:val="22"/>
          <w:lang w:eastAsia="en-US"/>
        </w:rPr>
        <w:t xml:space="preserve"> upravni</w:t>
      </w:r>
      <w:r>
        <w:rPr>
          <w:sz w:val="22"/>
          <w:szCs w:val="22"/>
          <w:lang w:eastAsia="en-US"/>
        </w:rPr>
        <w:t>h</w:t>
      </w:r>
      <w:r w:rsidR="00DA1F4B" w:rsidRPr="00512BE3">
        <w:rPr>
          <w:sz w:val="22"/>
          <w:szCs w:val="22"/>
          <w:lang w:eastAsia="en-US"/>
        </w:rPr>
        <w:t xml:space="preserve"> postupak</w:t>
      </w:r>
      <w:r>
        <w:rPr>
          <w:sz w:val="22"/>
          <w:szCs w:val="22"/>
          <w:lang w:eastAsia="en-US"/>
        </w:rPr>
        <w:t>a</w:t>
      </w:r>
      <w:r w:rsidR="00DA1F4B" w:rsidRPr="00512BE3">
        <w:rPr>
          <w:sz w:val="22"/>
          <w:szCs w:val="22"/>
          <w:lang w:eastAsia="en-US"/>
        </w:rPr>
        <w:t>, te donijele 1</w:t>
      </w:r>
      <w:r w:rsidR="00924733" w:rsidRPr="00512BE3">
        <w:rPr>
          <w:sz w:val="22"/>
          <w:szCs w:val="22"/>
          <w:lang w:eastAsia="en-US"/>
        </w:rPr>
        <w:t>.</w:t>
      </w:r>
      <w:r w:rsidR="00F633EB" w:rsidRPr="00512BE3">
        <w:rPr>
          <w:sz w:val="22"/>
          <w:szCs w:val="22"/>
          <w:lang w:eastAsia="en-US"/>
        </w:rPr>
        <w:t>678</w:t>
      </w:r>
      <w:r w:rsidR="00DA1F4B" w:rsidRPr="00512BE3">
        <w:rPr>
          <w:sz w:val="22"/>
          <w:szCs w:val="22"/>
          <w:lang w:eastAsia="en-US"/>
        </w:rPr>
        <w:t xml:space="preserve"> prvostepenih upravnih rješenja. </w:t>
      </w:r>
      <w:r w:rsidR="00F633EB" w:rsidRPr="00512BE3">
        <w:rPr>
          <w:sz w:val="22"/>
          <w:szCs w:val="22"/>
          <w:lang w:eastAsia="en-US"/>
        </w:rPr>
        <w:t xml:space="preserve">Podnijele su 14 prekršajnih naloga i </w:t>
      </w:r>
      <w:r w:rsidR="00924733" w:rsidRPr="00512BE3">
        <w:rPr>
          <w:sz w:val="22"/>
          <w:szCs w:val="22"/>
          <w:lang w:eastAsia="en-US"/>
        </w:rPr>
        <w:t>dva</w:t>
      </w:r>
      <w:r w:rsidR="00F633EB" w:rsidRPr="00512BE3">
        <w:rPr>
          <w:sz w:val="22"/>
          <w:szCs w:val="22"/>
          <w:lang w:eastAsia="en-US"/>
        </w:rPr>
        <w:t xml:space="preserve"> </w:t>
      </w:r>
      <w:r>
        <w:rPr>
          <w:sz w:val="22"/>
          <w:szCs w:val="22"/>
          <w:lang w:eastAsia="en-US"/>
        </w:rPr>
        <w:t>z</w:t>
      </w:r>
      <w:r w:rsidR="00F633EB" w:rsidRPr="00512BE3">
        <w:rPr>
          <w:sz w:val="22"/>
          <w:szCs w:val="22"/>
          <w:lang w:eastAsia="en-US"/>
        </w:rPr>
        <w:t>ahtjeva za pokretanje prekršaj</w:t>
      </w:r>
      <w:r>
        <w:rPr>
          <w:sz w:val="22"/>
          <w:szCs w:val="22"/>
          <w:lang w:eastAsia="en-US"/>
        </w:rPr>
        <w:t>nog postupka</w:t>
      </w:r>
      <w:r w:rsidR="00F633EB" w:rsidRPr="00512BE3">
        <w:rPr>
          <w:sz w:val="22"/>
          <w:szCs w:val="22"/>
          <w:lang w:eastAsia="en-US"/>
        </w:rPr>
        <w:t xml:space="preserve">, te po osnovu prekršaja naplatile </w:t>
      </w:r>
      <w:r>
        <w:rPr>
          <w:sz w:val="22"/>
          <w:szCs w:val="22"/>
          <w:lang w:eastAsia="en-US"/>
        </w:rPr>
        <w:t>iznos od 11.800,00 KM.</w:t>
      </w:r>
    </w:p>
    <w:p w14:paraId="545AFD3B" w14:textId="2597299F" w:rsidR="00701180" w:rsidRPr="00512BE3" w:rsidRDefault="000B2661" w:rsidP="000D0558">
      <w:pPr>
        <w:jc w:val="both"/>
        <w:rPr>
          <w:sz w:val="22"/>
          <w:szCs w:val="22"/>
        </w:rPr>
      </w:pPr>
      <w:r>
        <w:rPr>
          <w:sz w:val="22"/>
          <w:szCs w:val="22"/>
          <w:lang w:val="sr-Latn-BA" w:eastAsia="en-US"/>
        </w:rPr>
        <w:t>Pored navedenog u</w:t>
      </w:r>
      <w:r w:rsidR="0095314B" w:rsidRPr="00512BE3">
        <w:rPr>
          <w:sz w:val="22"/>
          <w:szCs w:val="22"/>
          <w:lang w:val="sr-Latn-BA" w:eastAsia="en-US"/>
        </w:rPr>
        <w:t xml:space="preserve"> izvještajnom periodu </w:t>
      </w:r>
      <w:r>
        <w:rPr>
          <w:sz w:val="22"/>
          <w:szCs w:val="22"/>
          <w:lang w:val="sr-Latn-BA" w:eastAsia="en-US"/>
        </w:rPr>
        <w:t xml:space="preserve">su provođene aktivnosti </w:t>
      </w:r>
      <w:r w:rsidR="00F84931" w:rsidRPr="00512BE3">
        <w:rPr>
          <w:sz w:val="22"/>
          <w:szCs w:val="22"/>
          <w:lang w:val="sr-Cyrl-BA" w:eastAsia="en-US"/>
        </w:rPr>
        <w:t>kontinuirano</w:t>
      </w:r>
      <w:r>
        <w:rPr>
          <w:sz w:val="22"/>
          <w:szCs w:val="22"/>
          <w:lang w:val="sr-Latn-BA" w:eastAsia="en-US"/>
        </w:rPr>
        <w:t>g</w:t>
      </w:r>
      <w:r w:rsidR="00F84931" w:rsidRPr="00512BE3">
        <w:rPr>
          <w:sz w:val="22"/>
          <w:szCs w:val="22"/>
          <w:lang w:val="sr-Cyrl-BA" w:eastAsia="en-US"/>
        </w:rPr>
        <w:t xml:space="preserve"> </w:t>
      </w:r>
      <w:r w:rsidR="00F84931" w:rsidRPr="00512BE3">
        <w:rPr>
          <w:sz w:val="22"/>
          <w:szCs w:val="22"/>
          <w:lang w:val="sr-Latn-BA" w:eastAsia="en-US"/>
        </w:rPr>
        <w:t>praćenj</w:t>
      </w:r>
      <w:r>
        <w:rPr>
          <w:sz w:val="22"/>
          <w:szCs w:val="22"/>
          <w:lang w:val="sr-Latn-BA" w:eastAsia="en-US"/>
        </w:rPr>
        <w:t>a</w:t>
      </w:r>
      <w:r w:rsidR="00F84931" w:rsidRPr="00512BE3">
        <w:rPr>
          <w:sz w:val="22"/>
          <w:szCs w:val="22"/>
          <w:lang w:val="sr-Latn-BA" w:eastAsia="en-US"/>
        </w:rPr>
        <w:t>, evidentiranj</w:t>
      </w:r>
      <w:r>
        <w:rPr>
          <w:sz w:val="22"/>
          <w:szCs w:val="22"/>
          <w:lang w:val="sr-Latn-BA" w:eastAsia="en-US"/>
        </w:rPr>
        <w:t>a</w:t>
      </w:r>
      <w:r w:rsidR="00F84931" w:rsidRPr="00512BE3">
        <w:rPr>
          <w:sz w:val="22"/>
          <w:szCs w:val="22"/>
          <w:lang w:val="sr-Latn-BA" w:eastAsia="en-US"/>
        </w:rPr>
        <w:t xml:space="preserve">, </w:t>
      </w:r>
      <w:r w:rsidR="00F84931" w:rsidRPr="00512BE3">
        <w:rPr>
          <w:sz w:val="22"/>
          <w:szCs w:val="22"/>
          <w:lang w:val="sr-Cyrl-BA" w:eastAsia="en-US"/>
        </w:rPr>
        <w:t>razduženj</w:t>
      </w:r>
      <w:r>
        <w:rPr>
          <w:sz w:val="22"/>
          <w:szCs w:val="22"/>
          <w:lang w:val="sr-Latn-BA" w:eastAsia="en-US"/>
        </w:rPr>
        <w:t>a</w:t>
      </w:r>
      <w:r w:rsidR="00F84931" w:rsidRPr="00512BE3">
        <w:rPr>
          <w:sz w:val="22"/>
          <w:szCs w:val="22"/>
          <w:lang w:val="sr-Cyrl-BA" w:eastAsia="en-US"/>
        </w:rPr>
        <w:t xml:space="preserve"> dozvola za uvoz/izvoz opojnih droga i psihotropnih supstanci,</w:t>
      </w:r>
      <w:r w:rsidR="00F84931" w:rsidRPr="00512BE3">
        <w:rPr>
          <w:sz w:val="22"/>
          <w:szCs w:val="22"/>
          <w:lang w:val="sr-Latn-BA" w:eastAsia="en-US"/>
        </w:rPr>
        <w:t xml:space="preserve"> lijekova koji sadrže psihotropne supstance, </w:t>
      </w:r>
      <w:r w:rsidR="00C36775" w:rsidRPr="00512BE3">
        <w:rPr>
          <w:sz w:val="22"/>
          <w:szCs w:val="22"/>
          <w:lang w:val="sr-Cyrl-BA" w:eastAsia="en-US"/>
        </w:rPr>
        <w:t xml:space="preserve">dozvola za uvoz/izvoz </w:t>
      </w:r>
      <w:r w:rsidR="00F84931" w:rsidRPr="00512BE3">
        <w:rPr>
          <w:sz w:val="22"/>
          <w:szCs w:val="22"/>
          <w:lang w:val="sr-Cyrl-BA" w:eastAsia="en-US"/>
        </w:rPr>
        <w:t>prekursora</w:t>
      </w:r>
      <w:r w:rsidR="00F84931" w:rsidRPr="00512BE3">
        <w:rPr>
          <w:sz w:val="22"/>
          <w:szCs w:val="22"/>
          <w:lang w:val="sr-Latn-BA" w:eastAsia="en-US"/>
        </w:rPr>
        <w:t>-ukupno</w:t>
      </w:r>
      <w:r w:rsidR="003F667B">
        <w:rPr>
          <w:sz w:val="22"/>
          <w:szCs w:val="22"/>
          <w:lang w:val="sr-Cyrl-BA" w:eastAsia="en-US"/>
        </w:rPr>
        <w:t xml:space="preserve"> </w:t>
      </w:r>
      <w:r w:rsidR="00C36775" w:rsidRPr="00512BE3">
        <w:rPr>
          <w:sz w:val="22"/>
          <w:szCs w:val="22"/>
          <w:lang w:val="sr-Latn-BA" w:eastAsia="en-US"/>
        </w:rPr>
        <w:t>123</w:t>
      </w:r>
      <w:r w:rsidR="00F84931" w:rsidRPr="00512BE3">
        <w:rPr>
          <w:sz w:val="22"/>
          <w:szCs w:val="22"/>
          <w:lang w:val="sr-Cyrl-BA" w:eastAsia="en-US"/>
        </w:rPr>
        <w:t>,</w:t>
      </w:r>
      <w:r w:rsidR="00F84931" w:rsidRPr="00512BE3">
        <w:rPr>
          <w:sz w:val="22"/>
          <w:szCs w:val="22"/>
          <w:lang w:val="sr-Latn-BA" w:eastAsia="en-US"/>
        </w:rPr>
        <w:t xml:space="preserve"> kontinuirano </w:t>
      </w:r>
      <w:r w:rsidR="00ED6DFC" w:rsidRPr="00512BE3">
        <w:rPr>
          <w:sz w:val="22"/>
          <w:szCs w:val="22"/>
          <w:lang w:val="sr-Latn-BA" w:eastAsia="en-US"/>
        </w:rPr>
        <w:t>su vršene</w:t>
      </w:r>
      <w:r w:rsidR="00F84931" w:rsidRPr="00512BE3">
        <w:rPr>
          <w:sz w:val="22"/>
          <w:szCs w:val="22"/>
          <w:lang w:val="sr-Latn-BA" w:eastAsia="en-US"/>
        </w:rPr>
        <w:t xml:space="preserve"> provjere </w:t>
      </w:r>
      <w:r w:rsidR="00F84931" w:rsidRPr="00512BE3">
        <w:rPr>
          <w:sz w:val="22"/>
          <w:szCs w:val="22"/>
          <w:lang w:val="sr-Latn-BA" w:eastAsia="en-US"/>
        </w:rPr>
        <w:lastRenderedPageBreak/>
        <w:t>obveznika u deregistraciji/lik</w:t>
      </w:r>
      <w:r w:rsidR="00C36775" w:rsidRPr="00512BE3">
        <w:rPr>
          <w:sz w:val="22"/>
          <w:szCs w:val="22"/>
          <w:lang w:val="sr-Latn-BA" w:eastAsia="en-US"/>
        </w:rPr>
        <w:t xml:space="preserve">vidaciji </w:t>
      </w:r>
      <w:r w:rsidR="00F84931" w:rsidRPr="00512BE3">
        <w:rPr>
          <w:sz w:val="22"/>
          <w:szCs w:val="22"/>
          <w:lang w:val="sr-Latn-BA" w:eastAsia="en-US"/>
        </w:rPr>
        <w:t>–</w:t>
      </w:r>
      <w:r w:rsidR="00C36775" w:rsidRPr="00512BE3">
        <w:rPr>
          <w:sz w:val="22"/>
          <w:szCs w:val="22"/>
          <w:lang w:val="sr-Latn-BA" w:eastAsia="en-US"/>
        </w:rPr>
        <w:t xml:space="preserve"> </w:t>
      </w:r>
      <w:r w:rsidR="00F84931" w:rsidRPr="00512BE3">
        <w:rPr>
          <w:sz w:val="22"/>
          <w:szCs w:val="22"/>
          <w:lang w:val="sr-Latn-BA" w:eastAsia="en-US"/>
        </w:rPr>
        <w:t xml:space="preserve">ukupno </w:t>
      </w:r>
      <w:r w:rsidR="00C36775" w:rsidRPr="00512BE3">
        <w:rPr>
          <w:sz w:val="22"/>
          <w:szCs w:val="22"/>
          <w:lang w:val="sr-Latn-BA" w:eastAsia="en-US"/>
        </w:rPr>
        <w:t>669</w:t>
      </w:r>
      <w:r w:rsidR="00F84931" w:rsidRPr="00512BE3">
        <w:rPr>
          <w:sz w:val="22"/>
          <w:szCs w:val="22"/>
          <w:lang w:val="sr-Latn-BA" w:eastAsia="en-US"/>
        </w:rPr>
        <w:t xml:space="preserve"> obveznika gdje je izdato </w:t>
      </w:r>
      <w:r w:rsidR="00C36775" w:rsidRPr="00512BE3">
        <w:rPr>
          <w:sz w:val="22"/>
          <w:szCs w:val="22"/>
          <w:lang w:val="sr-Latn-BA" w:eastAsia="en-US"/>
        </w:rPr>
        <w:t>10</w:t>
      </w:r>
      <w:r w:rsidR="00F84931" w:rsidRPr="00512BE3">
        <w:rPr>
          <w:sz w:val="22"/>
          <w:szCs w:val="22"/>
          <w:lang w:val="sr-Latn-BA" w:eastAsia="en-US"/>
        </w:rPr>
        <w:t xml:space="preserve"> naloga za</w:t>
      </w:r>
      <w:r w:rsidR="007D061D" w:rsidRPr="00512BE3">
        <w:rPr>
          <w:sz w:val="22"/>
          <w:szCs w:val="22"/>
          <w:lang w:val="sr-Latn-BA" w:eastAsia="en-US"/>
        </w:rPr>
        <w:t xml:space="preserve"> naknadnu carinsku kontrolu, sačinjeavani su</w:t>
      </w:r>
      <w:r w:rsidR="00F84931" w:rsidRPr="00512BE3">
        <w:rPr>
          <w:sz w:val="22"/>
          <w:szCs w:val="22"/>
          <w:lang w:val="sr-Latn-BA" w:eastAsia="en-US"/>
        </w:rPr>
        <w:t xml:space="preserve"> mjesečn</w:t>
      </w:r>
      <w:r w:rsidR="007D061D" w:rsidRPr="00512BE3">
        <w:rPr>
          <w:sz w:val="22"/>
          <w:szCs w:val="22"/>
          <w:lang w:val="sr-Latn-BA" w:eastAsia="en-US"/>
        </w:rPr>
        <w:t>i</w:t>
      </w:r>
      <w:r w:rsidR="00F84931" w:rsidRPr="00512BE3">
        <w:rPr>
          <w:sz w:val="22"/>
          <w:szCs w:val="22"/>
          <w:lang w:val="sr-Latn-BA" w:eastAsia="en-US"/>
        </w:rPr>
        <w:t xml:space="preserve"> izvješta</w:t>
      </w:r>
      <w:r w:rsidR="007D061D" w:rsidRPr="00512BE3">
        <w:rPr>
          <w:sz w:val="22"/>
          <w:szCs w:val="22"/>
          <w:lang w:val="sr-Latn-BA" w:eastAsia="en-US"/>
        </w:rPr>
        <w:t>ji</w:t>
      </w:r>
      <w:r w:rsidR="00F84931" w:rsidRPr="00512BE3">
        <w:rPr>
          <w:sz w:val="22"/>
          <w:szCs w:val="22"/>
          <w:lang w:val="sr-Latn-BA" w:eastAsia="en-US"/>
        </w:rPr>
        <w:t xml:space="preserve"> o izvozu malina za Federalno ministarstvo privrede, vodoprivrede i šumarstva, prat</w:t>
      </w:r>
      <w:r>
        <w:rPr>
          <w:sz w:val="22"/>
          <w:szCs w:val="22"/>
          <w:lang w:val="sr-Latn-BA" w:eastAsia="en-US"/>
        </w:rPr>
        <w:t>ćenje i analiza sedmičnih</w:t>
      </w:r>
      <w:r w:rsidR="00F84931" w:rsidRPr="00512BE3">
        <w:rPr>
          <w:sz w:val="22"/>
          <w:szCs w:val="22"/>
          <w:lang w:val="sr-Latn-BA" w:eastAsia="en-US"/>
        </w:rPr>
        <w:t xml:space="preserve"> izvještaj</w:t>
      </w:r>
      <w:r>
        <w:rPr>
          <w:sz w:val="22"/>
          <w:szCs w:val="22"/>
          <w:lang w:val="sr-Latn-BA" w:eastAsia="en-US"/>
        </w:rPr>
        <w:t>a</w:t>
      </w:r>
      <w:r w:rsidR="00F84931" w:rsidRPr="00512BE3">
        <w:rPr>
          <w:sz w:val="22"/>
          <w:szCs w:val="22"/>
          <w:lang w:val="sr-Latn-BA" w:eastAsia="en-US"/>
        </w:rPr>
        <w:t xml:space="preserve"> o uvozu motornih vozila i uvozu roba porijeklom i</w:t>
      </w:r>
      <w:r w:rsidR="000D0558">
        <w:rPr>
          <w:sz w:val="22"/>
          <w:szCs w:val="22"/>
          <w:lang w:val="sr-Latn-BA" w:eastAsia="en-US"/>
        </w:rPr>
        <w:t xml:space="preserve">z azijskih i afričkih zemalja. </w:t>
      </w:r>
      <w:r>
        <w:rPr>
          <w:sz w:val="22"/>
          <w:szCs w:val="22"/>
        </w:rPr>
        <w:t>Takođe službenici Sektora za carine su u iz</w:t>
      </w:r>
      <w:r w:rsidR="00F84931" w:rsidRPr="00512BE3">
        <w:rPr>
          <w:sz w:val="22"/>
          <w:szCs w:val="22"/>
        </w:rPr>
        <w:t>vještajnom periodu učestvova</w:t>
      </w:r>
      <w:r>
        <w:rPr>
          <w:sz w:val="22"/>
          <w:szCs w:val="22"/>
        </w:rPr>
        <w:t>li</w:t>
      </w:r>
      <w:r w:rsidR="00ED6DFC" w:rsidRPr="00512BE3">
        <w:rPr>
          <w:sz w:val="22"/>
          <w:szCs w:val="22"/>
        </w:rPr>
        <w:t xml:space="preserve"> u koordinaciji i provođenju sl</w:t>
      </w:r>
      <w:r w:rsidR="00F84931" w:rsidRPr="00512BE3">
        <w:rPr>
          <w:sz w:val="22"/>
          <w:szCs w:val="22"/>
        </w:rPr>
        <w:t>je</w:t>
      </w:r>
      <w:r w:rsidR="00ED6DFC" w:rsidRPr="00512BE3">
        <w:rPr>
          <w:sz w:val="22"/>
          <w:szCs w:val="22"/>
        </w:rPr>
        <w:t xml:space="preserve">dećih operativnih akcija: </w:t>
      </w:r>
      <w:r w:rsidR="00C36775" w:rsidRPr="00512BE3">
        <w:rPr>
          <w:sz w:val="22"/>
          <w:szCs w:val="22"/>
        </w:rPr>
        <w:t>EMPACT ENVI CRIME 2022-Otpad, DOUBLETON-Procjena obima revizije prihoda zbog pogrešnog svrstavanja alkoholnih pića i uspostavljanje uslova za operativne aktivnosti u domeni provođenja propisa, PANGEA XV-Borba protiv farmaceutskog kriminala u kojem su uključene proizvodnja, trgovina i stavljanje u promet falsifikovanih lijekova, ukradenih i nezakonitih lijekova i medicinskih sredstava, SHIELD III-antidoping politika - doping supstance (proizvodi za doping sredstva /medicinske supstance/lijekovi), SEE JAD 2022-Zajednička operativna akcija planirana i kordinisana u okviru EMPACT za vatreno oružje, za kokain-kanabis-heroin, za trgovinu ljudima i ilegalne migracije, KNOCKOUT-fokus na expresnim pošiljkama odabranih novih psihoaktivnih supstanci (NPS) potencijalno korišćenih u seksualnim napadima uz pomoć droga, OPSON XII-sprječavanje krijumčarenja i suzbijanje ilegalne trgovine „hranom i pićem" i krivotvorenim proizvodima, FAST-AIR-otkrivanje i zaustavljanje pošiljki sa zabranjenom robom - paketi koji se dostavljaju putem usluga kurirske dostave (npr. DHL, FedEx, UPS) i usluga brze pošte, kao i na razmjenu informacija o otkrivenim pošiljkama na aerodromima. U okviru projekta HALT (Zaustavljanje ilegalne trgovine i prometa naoružanjem) održavani su sastanci multiresorne radne grupe i sastanak sa Carinskom upravom Crne Gore, te je obučeno 616 službenika.</w:t>
      </w:r>
    </w:p>
    <w:p w14:paraId="41B1A417" w14:textId="77777777" w:rsidR="00FD730A" w:rsidRPr="00512BE3" w:rsidRDefault="00FD730A" w:rsidP="00FF2D3C">
      <w:pPr>
        <w:rPr>
          <w:sz w:val="22"/>
          <w:szCs w:val="22"/>
          <w:lang w:val="bs-Latn-BA" w:eastAsia="en-US"/>
        </w:rPr>
      </w:pPr>
    </w:p>
    <w:p w14:paraId="56F0D029" w14:textId="77777777" w:rsidR="003F1F0D" w:rsidRPr="00512BE3" w:rsidRDefault="00E62618" w:rsidP="007B6CB6">
      <w:pPr>
        <w:pStyle w:val="Heading2"/>
        <w:spacing w:before="0"/>
        <w:ind w:left="437" w:hanging="437"/>
        <w:rPr>
          <w:rFonts w:eastAsia="Calibri"/>
          <w:color w:val="auto"/>
          <w:lang w:eastAsia="en-US"/>
        </w:rPr>
      </w:pPr>
      <w:bookmarkStart w:id="16" w:name="_Toc95294153"/>
      <w:r w:rsidRPr="00512BE3">
        <w:rPr>
          <w:rFonts w:eastAsia="Calibri"/>
          <w:color w:val="auto"/>
          <w:lang w:eastAsia="en-US"/>
        </w:rPr>
        <w:t>Poreska kontrola</w:t>
      </w:r>
      <w:bookmarkEnd w:id="16"/>
    </w:p>
    <w:p w14:paraId="040E820A" w14:textId="3A34AAB2" w:rsidR="004549CA" w:rsidRPr="00512BE3" w:rsidRDefault="003D5318" w:rsidP="000D0558">
      <w:pPr>
        <w:ind w:firstLine="708"/>
        <w:jc w:val="both"/>
        <w:rPr>
          <w:sz w:val="22"/>
          <w:szCs w:val="22"/>
          <w:lang w:val="sr-Latn-BA"/>
        </w:rPr>
      </w:pPr>
      <w:r w:rsidRPr="00512BE3">
        <w:rPr>
          <w:rFonts w:eastAsia="Calibri"/>
          <w:sz w:val="22"/>
          <w:szCs w:val="22"/>
          <w:lang w:val="sr-Latn-BA" w:eastAsia="en-US"/>
        </w:rPr>
        <w:t>U izvještajnom periodu u oblasti indirektnih poreza u unutrašnjem prometu, Sektor za poreze je u skladu sa propisanim nadležnostima, proveo značajne aktivnosti na osiguranju prikupljanja prihoda i jačanju poreske discipline, s ciljem pove</w:t>
      </w:r>
      <w:r w:rsidR="00146ACF">
        <w:rPr>
          <w:rFonts w:eastAsia="Calibri"/>
          <w:sz w:val="22"/>
          <w:szCs w:val="22"/>
          <w:lang w:val="sr-Latn-BA" w:eastAsia="en-US"/>
        </w:rPr>
        <w:t xml:space="preserve">ćanja stepena dobrovoljnog </w:t>
      </w:r>
      <w:r w:rsidR="00146ACF" w:rsidRPr="001A2DBA">
        <w:rPr>
          <w:rFonts w:eastAsia="Calibri"/>
          <w:sz w:val="22"/>
          <w:szCs w:val="22"/>
          <w:lang w:val="sr-Latn-BA" w:eastAsia="en-US"/>
        </w:rPr>
        <w:t>pošto</w:t>
      </w:r>
      <w:r w:rsidRPr="001A2DBA">
        <w:rPr>
          <w:rFonts w:eastAsia="Calibri"/>
          <w:sz w:val="22"/>
          <w:szCs w:val="22"/>
          <w:lang w:val="sr-Latn-BA" w:eastAsia="en-US"/>
        </w:rPr>
        <w:t>vanj</w:t>
      </w:r>
      <w:r w:rsidRPr="00512BE3">
        <w:rPr>
          <w:rFonts w:eastAsia="Calibri"/>
          <w:sz w:val="22"/>
          <w:szCs w:val="22"/>
          <w:lang w:val="sr-Latn-BA" w:eastAsia="en-US"/>
        </w:rPr>
        <w:t>a propisa od strane obveznika indirektnih poreza. U skladu sa važećim propisima, a na osnovu rezultata provedenih kontrola, dat je akcenat dodatnom unapređenju, modernizaciji i poboljšaju poslovnih procesa, posebno putem efikasnog planiranja, komunikacije, razmjene podataka i izvještavanja unutar Sektora za poreze, komunikacije sa drugim organizacionim jedinicama UIO, komunikacije i saradnje sa poreskim obveznicima u okvirima nadležnosti Sektora za poreze, te identifikovanja prioriteta za provođenje kontrola</w:t>
      </w:r>
      <w:r w:rsidR="00B71E3D" w:rsidRPr="00512BE3">
        <w:rPr>
          <w:lang w:val="sr-Latn-BA"/>
        </w:rPr>
        <w:t xml:space="preserve"> </w:t>
      </w:r>
      <w:r w:rsidR="00B71E3D" w:rsidRPr="00512BE3">
        <w:rPr>
          <w:rFonts w:eastAsia="Calibri"/>
          <w:sz w:val="22"/>
          <w:szCs w:val="22"/>
          <w:lang w:val="sr-Latn-BA" w:eastAsia="en-US"/>
        </w:rPr>
        <w:t>shodno godišnjem planu kontrola i</w:t>
      </w:r>
      <w:r w:rsidRPr="00512BE3">
        <w:rPr>
          <w:rFonts w:eastAsia="Calibri"/>
          <w:sz w:val="22"/>
          <w:szCs w:val="22"/>
          <w:lang w:val="sr-Latn-BA" w:eastAsia="en-US"/>
        </w:rPr>
        <w:t xml:space="preserve"> na </w:t>
      </w:r>
      <w:r w:rsidR="00B71E3D" w:rsidRPr="00512BE3">
        <w:rPr>
          <w:rFonts w:eastAsia="Calibri"/>
          <w:sz w:val="22"/>
          <w:szCs w:val="22"/>
          <w:lang w:val="sr-Latn-BA" w:eastAsia="en-US"/>
        </w:rPr>
        <w:t>osnovu</w:t>
      </w:r>
      <w:r w:rsidRPr="00512BE3">
        <w:rPr>
          <w:rFonts w:eastAsia="Calibri"/>
          <w:sz w:val="22"/>
          <w:szCs w:val="22"/>
          <w:lang w:val="sr-Latn-BA" w:eastAsia="en-US"/>
        </w:rPr>
        <w:t xml:space="preserve"> </w:t>
      </w:r>
      <w:r w:rsidR="00B71E3D" w:rsidRPr="00512BE3">
        <w:rPr>
          <w:rFonts w:eastAsia="Calibri"/>
          <w:sz w:val="22"/>
          <w:szCs w:val="22"/>
          <w:lang w:val="sr-Latn-BA" w:eastAsia="en-US"/>
        </w:rPr>
        <w:t>preporuka Odjeljenja</w:t>
      </w:r>
      <w:r w:rsidRPr="00512BE3">
        <w:rPr>
          <w:rFonts w:eastAsia="Calibri"/>
          <w:sz w:val="22"/>
          <w:szCs w:val="22"/>
          <w:lang w:val="sr-Latn-BA" w:eastAsia="en-US"/>
        </w:rPr>
        <w:t xml:space="preserve"> za</w:t>
      </w:r>
      <w:r w:rsidR="00B71E3D" w:rsidRPr="00512BE3">
        <w:rPr>
          <w:rFonts w:eastAsia="Calibri"/>
          <w:sz w:val="22"/>
          <w:szCs w:val="22"/>
          <w:lang w:val="sr-Latn-BA" w:eastAsia="en-US"/>
        </w:rPr>
        <w:t xml:space="preserve"> analizu i upravljanje rizicima.</w:t>
      </w:r>
      <w:r w:rsidR="000D0558">
        <w:rPr>
          <w:rFonts w:eastAsia="Calibri"/>
          <w:sz w:val="22"/>
          <w:szCs w:val="22"/>
          <w:lang w:val="sr-Latn-BA" w:eastAsia="en-US"/>
        </w:rPr>
        <w:t xml:space="preserve"> </w:t>
      </w:r>
      <w:r w:rsidR="004549CA" w:rsidRPr="00512BE3">
        <w:rPr>
          <w:sz w:val="22"/>
          <w:szCs w:val="22"/>
          <w:lang w:val="sr-Latn-BA"/>
        </w:rPr>
        <w:t>U 2022. godini provođene su kontrolne aktivnosti po Planu kontrola povrata shodno Programu poštovanja propisa za obveznike kod kojih je evidentiran rast zahtjevanog povrata ili neiskorištenog kredita, pored navedenih i kontrole kojima su kontrolisani obveznici koji se bave uslugama brze pošte. Podaci iz evidencija obveznika putem e-nabavki i e-isporuka dodatno su poslužile u identifikovanja potencijalno rizičnih poreskih obveznika.</w:t>
      </w:r>
    </w:p>
    <w:p w14:paraId="49FE4C80" w14:textId="438185B8" w:rsidR="00A70AF2" w:rsidRDefault="005E69D5" w:rsidP="000D0558">
      <w:pPr>
        <w:spacing w:after="40"/>
        <w:ind w:firstLine="708"/>
        <w:jc w:val="both"/>
        <w:rPr>
          <w:sz w:val="22"/>
          <w:szCs w:val="22"/>
          <w:lang w:val="sr-Latn-BA"/>
        </w:rPr>
      </w:pPr>
      <w:r w:rsidRPr="00512BE3">
        <w:rPr>
          <w:sz w:val="22"/>
          <w:szCs w:val="22"/>
          <w:lang w:val="sr-Latn-BA"/>
        </w:rPr>
        <w:t>Sektor za poreze je u skladu sa</w:t>
      </w:r>
      <w:r w:rsidR="00B71E3D" w:rsidRPr="00512BE3">
        <w:rPr>
          <w:sz w:val="22"/>
          <w:szCs w:val="22"/>
          <w:lang w:val="sr-Latn-BA"/>
        </w:rPr>
        <w:t xml:space="preserve"> svojim nadležnostima tokom 202</w:t>
      </w:r>
      <w:r w:rsidR="004549CA" w:rsidRPr="00512BE3">
        <w:rPr>
          <w:sz w:val="22"/>
          <w:szCs w:val="22"/>
          <w:lang w:val="sr-Latn-BA"/>
        </w:rPr>
        <w:t>2</w:t>
      </w:r>
      <w:r w:rsidRPr="00512BE3">
        <w:rPr>
          <w:sz w:val="22"/>
          <w:szCs w:val="22"/>
          <w:lang w:val="sr-Latn-BA"/>
        </w:rPr>
        <w:t>. godine pro</w:t>
      </w:r>
      <w:r w:rsidR="00CF333B" w:rsidRPr="00512BE3">
        <w:rPr>
          <w:sz w:val="22"/>
          <w:szCs w:val="22"/>
          <w:lang w:val="sr-Latn-BA"/>
        </w:rPr>
        <w:t>vodio sistem finansijskog uprav</w:t>
      </w:r>
      <w:r w:rsidRPr="00512BE3">
        <w:rPr>
          <w:sz w:val="22"/>
          <w:szCs w:val="22"/>
          <w:lang w:val="sr-Latn-BA"/>
        </w:rPr>
        <w:t>ljanja i kontrole, te je kroz izdavanje naloga za internu kontrolu i izradu izvještaja o provedenoj internoj kontroli sa prijedlogom mjera, radio na izradi akata kojima su nal</w:t>
      </w:r>
      <w:r w:rsidR="000D7048" w:rsidRPr="00512BE3">
        <w:rPr>
          <w:sz w:val="22"/>
          <w:szCs w:val="22"/>
          <w:lang w:val="sr-Latn-BA"/>
        </w:rPr>
        <w:t>ožena</w:t>
      </w:r>
      <w:r w:rsidRPr="00512BE3">
        <w:rPr>
          <w:sz w:val="22"/>
          <w:szCs w:val="22"/>
          <w:lang w:val="sr-Latn-BA"/>
        </w:rPr>
        <w:t xml:space="preserve"> jednoobrazna postupanja svih organizacionih jedinica u sastavu Sektora za poreze.</w:t>
      </w:r>
      <w:bookmarkStart w:id="17" w:name="_Toc499897748"/>
      <w:bookmarkStart w:id="18" w:name="_Toc499897775"/>
      <w:bookmarkStart w:id="19" w:name="_Toc499898761"/>
      <w:bookmarkStart w:id="20" w:name="_Toc499901415"/>
    </w:p>
    <w:p w14:paraId="5AF3C70C" w14:textId="77777777" w:rsidR="000D0558" w:rsidRPr="000D0558" w:rsidRDefault="000D0558" w:rsidP="000D0558">
      <w:pPr>
        <w:spacing w:after="40"/>
        <w:ind w:firstLine="708"/>
        <w:jc w:val="both"/>
        <w:rPr>
          <w:sz w:val="22"/>
          <w:szCs w:val="22"/>
          <w:lang w:val="sr-Latn-BA"/>
        </w:rPr>
      </w:pPr>
    </w:p>
    <w:p w14:paraId="3FB5A62B" w14:textId="62B8143D" w:rsidR="00B20CB6" w:rsidRPr="00512BE3" w:rsidRDefault="003D5318" w:rsidP="00B20CB6">
      <w:pPr>
        <w:pStyle w:val="Heading3"/>
      </w:pPr>
      <w:bookmarkStart w:id="21" w:name="_Toc95294154"/>
      <w:r w:rsidRPr="00512BE3">
        <w:t>Revizija i kontrola</w:t>
      </w:r>
      <w:bookmarkEnd w:id="17"/>
      <w:bookmarkEnd w:id="18"/>
      <w:bookmarkEnd w:id="19"/>
      <w:bookmarkEnd w:id="20"/>
      <w:bookmarkEnd w:id="21"/>
    </w:p>
    <w:p w14:paraId="36B49989" w14:textId="0BF3C6F9" w:rsidR="00FD10C0" w:rsidRPr="00512BE3" w:rsidRDefault="00215B41" w:rsidP="001350B9">
      <w:pPr>
        <w:pStyle w:val="NoSpacing"/>
        <w:spacing w:after="120"/>
        <w:ind w:firstLine="709"/>
        <w:jc w:val="both"/>
        <w:rPr>
          <w:rFonts w:ascii="Times New Roman" w:hAnsi="Times New Roman"/>
          <w:i/>
          <w:sz w:val="22"/>
          <w:szCs w:val="22"/>
          <w:lang w:val="sr-Latn-BA"/>
        </w:rPr>
      </w:pPr>
      <w:r>
        <w:rPr>
          <w:rFonts w:ascii="Times New Roman" w:hAnsi="Times New Roman"/>
          <w:sz w:val="22"/>
          <w:szCs w:val="22"/>
          <w:lang w:val="sr-Latn-BA"/>
        </w:rPr>
        <w:t xml:space="preserve">U oblasti </w:t>
      </w:r>
      <w:r w:rsidR="004549CA" w:rsidRPr="00512BE3">
        <w:rPr>
          <w:rFonts w:ascii="Times New Roman" w:hAnsi="Times New Roman"/>
          <w:sz w:val="22"/>
          <w:szCs w:val="22"/>
          <w:lang w:val="sr-Latn-BA"/>
        </w:rPr>
        <w:t>revizij</w:t>
      </w:r>
      <w:r>
        <w:rPr>
          <w:rFonts w:ascii="Times New Roman" w:hAnsi="Times New Roman"/>
          <w:sz w:val="22"/>
          <w:szCs w:val="22"/>
          <w:lang w:val="sr-Latn-BA"/>
        </w:rPr>
        <w:t>e</w:t>
      </w:r>
      <w:r w:rsidR="004549CA" w:rsidRPr="00512BE3">
        <w:rPr>
          <w:rFonts w:ascii="Times New Roman" w:hAnsi="Times New Roman"/>
          <w:sz w:val="22"/>
          <w:szCs w:val="22"/>
          <w:lang w:val="sr-Latn-BA"/>
        </w:rPr>
        <w:t xml:space="preserve"> i kontrol</w:t>
      </w:r>
      <w:r>
        <w:rPr>
          <w:rFonts w:ascii="Times New Roman" w:hAnsi="Times New Roman"/>
          <w:sz w:val="22"/>
          <w:szCs w:val="22"/>
          <w:lang w:val="sr-Latn-BA"/>
        </w:rPr>
        <w:t>e</w:t>
      </w:r>
      <w:r w:rsidR="004549CA" w:rsidRPr="00512BE3">
        <w:rPr>
          <w:rFonts w:ascii="Times New Roman" w:hAnsi="Times New Roman"/>
          <w:sz w:val="22"/>
          <w:szCs w:val="22"/>
          <w:lang w:val="sr-Latn-BA"/>
        </w:rPr>
        <w:t xml:space="preserve"> u 2022. godini realizovao</w:t>
      </w:r>
      <w:r>
        <w:rPr>
          <w:rFonts w:ascii="Times New Roman" w:hAnsi="Times New Roman"/>
          <w:sz w:val="22"/>
          <w:szCs w:val="22"/>
          <w:lang w:val="sr-Latn-BA"/>
        </w:rPr>
        <w:t>no je</w:t>
      </w:r>
      <w:r w:rsidR="004549CA" w:rsidRPr="00512BE3">
        <w:rPr>
          <w:rFonts w:ascii="Times New Roman" w:hAnsi="Times New Roman"/>
          <w:sz w:val="22"/>
          <w:szCs w:val="22"/>
          <w:lang w:val="sr-Latn-BA"/>
        </w:rPr>
        <w:t xml:space="preserve"> 3% više kontrola od planiranog broja, budući da je planirano 6.761 kontrola, a izvršeno 6.969 kontrola. Kada su u pitanju potpune kontrole planirano je 4.870 potpunih kontrola,  a izvršene su </w:t>
      </w:r>
      <w:r w:rsidR="00FD5FA8">
        <w:rPr>
          <w:rFonts w:ascii="Times New Roman" w:hAnsi="Times New Roman"/>
          <w:sz w:val="22"/>
          <w:szCs w:val="22"/>
          <w:lang w:val="sr-Latn-BA"/>
        </w:rPr>
        <w:t>4.</w:t>
      </w:r>
      <w:bookmarkStart w:id="22" w:name="_GoBack"/>
      <w:bookmarkEnd w:id="22"/>
      <w:r w:rsidR="004549CA" w:rsidRPr="00512BE3">
        <w:rPr>
          <w:rFonts w:ascii="Times New Roman" w:hAnsi="Times New Roman"/>
          <w:sz w:val="22"/>
          <w:szCs w:val="22"/>
          <w:lang w:val="sr-Latn-BA"/>
        </w:rPr>
        <w:t xml:space="preserve">925 potpune kontrole, što znači da je postotak realizacije potpunih kontrola veći za 1% od planiranog broja.  U izvještajnom periodu izvršeno je 4%  manje kontrola u odnosu na isti period 2021. godine. </w:t>
      </w:r>
      <w:r w:rsidR="00CD4537" w:rsidRPr="00512BE3">
        <w:rPr>
          <w:rFonts w:ascii="Times New Roman" w:hAnsi="Times New Roman"/>
          <w:i/>
          <w:sz w:val="22"/>
          <w:szCs w:val="22"/>
          <w:lang w:val="sr-Latn-BA"/>
        </w:rPr>
        <w:t>(Ta</w:t>
      </w:r>
      <w:r w:rsidR="007D061D" w:rsidRPr="00512BE3">
        <w:rPr>
          <w:rFonts w:ascii="Times New Roman" w:hAnsi="Times New Roman"/>
          <w:i/>
          <w:sz w:val="22"/>
          <w:szCs w:val="22"/>
          <w:lang w:val="sr-Latn-BA"/>
        </w:rPr>
        <w:t>bela 9</w:t>
      </w:r>
      <w:r w:rsidR="003D5318" w:rsidRPr="00512BE3">
        <w:rPr>
          <w:rFonts w:ascii="Times New Roman" w:hAnsi="Times New Roman"/>
          <w:i/>
          <w:sz w:val="22"/>
          <w:szCs w:val="22"/>
          <w:lang w:val="sr-Latn-BA"/>
        </w:rPr>
        <w:t>.)</w:t>
      </w:r>
    </w:p>
    <w:p w14:paraId="4972F569" w14:textId="77777777" w:rsidR="003D5318" w:rsidRPr="00512BE3" w:rsidRDefault="00A70AF2" w:rsidP="003D5318">
      <w:pPr>
        <w:pStyle w:val="NoSpacing"/>
        <w:jc w:val="both"/>
        <w:rPr>
          <w:rFonts w:ascii="Times New Roman" w:hAnsi="Times New Roman"/>
          <w:b/>
          <w:i/>
          <w:sz w:val="22"/>
          <w:lang w:val="sr-Latn-BA"/>
        </w:rPr>
      </w:pPr>
      <w:r w:rsidRPr="00512BE3">
        <w:rPr>
          <w:rFonts w:ascii="Times New Roman" w:hAnsi="Times New Roman"/>
          <w:b/>
          <w:i/>
          <w:sz w:val="22"/>
          <w:lang w:val="sr-Latn-BA"/>
        </w:rPr>
        <w:t xml:space="preserve">Tabela </w:t>
      </w:r>
      <w:r w:rsidR="007D061D" w:rsidRPr="00512BE3">
        <w:rPr>
          <w:rFonts w:ascii="Times New Roman" w:hAnsi="Times New Roman"/>
          <w:b/>
          <w:i/>
          <w:sz w:val="22"/>
          <w:lang w:val="sr-Latn-BA"/>
        </w:rPr>
        <w:t>9</w:t>
      </w:r>
      <w:r w:rsidR="00C41D66" w:rsidRPr="00512BE3">
        <w:rPr>
          <w:rFonts w:ascii="Times New Roman" w:hAnsi="Times New Roman"/>
          <w:b/>
          <w:i/>
          <w:sz w:val="22"/>
          <w:lang w:val="sr-Latn-BA"/>
        </w:rPr>
        <w:t>:</w:t>
      </w:r>
      <w:r w:rsidR="008948DE" w:rsidRPr="00512BE3">
        <w:rPr>
          <w:rFonts w:ascii="Times New Roman" w:hAnsi="Times New Roman"/>
          <w:b/>
          <w:i/>
          <w:sz w:val="22"/>
          <w:lang w:val="sr-Latn-BA"/>
        </w:rPr>
        <w:t xml:space="preserve"> </w:t>
      </w:r>
      <w:r w:rsidR="003D5318" w:rsidRPr="00512BE3">
        <w:rPr>
          <w:rFonts w:ascii="Times New Roman" w:hAnsi="Times New Roman"/>
          <w:b/>
          <w:i/>
          <w:sz w:val="22"/>
          <w:lang w:val="sr-Latn-BA"/>
        </w:rPr>
        <w:t xml:space="preserve">Izvještaj o planiranim i realizovanim aktivnostima </w:t>
      </w:r>
      <w:r w:rsidR="002262C3" w:rsidRPr="00512BE3">
        <w:rPr>
          <w:rFonts w:ascii="Times New Roman" w:hAnsi="Times New Roman"/>
          <w:b/>
          <w:i/>
          <w:sz w:val="22"/>
          <w:lang w:val="sr-Latn-BA"/>
        </w:rPr>
        <w:t>Odsjeka za reviziju i kontrolu</w:t>
      </w:r>
    </w:p>
    <w:tbl>
      <w:tblPr>
        <w:tblW w:w="0" w:type="auto"/>
        <w:tblCellMar>
          <w:left w:w="0" w:type="dxa"/>
          <w:right w:w="0" w:type="dxa"/>
        </w:tblCellMar>
        <w:tblLook w:val="04A0" w:firstRow="1" w:lastRow="0" w:firstColumn="1" w:lastColumn="0" w:noHBand="0" w:noVBand="1"/>
      </w:tblPr>
      <w:tblGrid>
        <w:gridCol w:w="1413"/>
        <w:gridCol w:w="1621"/>
        <w:gridCol w:w="1501"/>
        <w:gridCol w:w="1362"/>
        <w:gridCol w:w="1493"/>
        <w:gridCol w:w="1634"/>
      </w:tblGrid>
      <w:tr w:rsidR="004549CA" w:rsidRPr="00512BE3" w14:paraId="572CDE9E" w14:textId="77777777" w:rsidTr="004549CA">
        <w:trPr>
          <w:trHeight w:val="1395"/>
        </w:trPr>
        <w:tc>
          <w:tcPr>
            <w:tcW w:w="1448" w:type="dxa"/>
            <w:tcBorders>
              <w:top w:val="double" w:sz="6" w:space="0" w:color="auto"/>
              <w:left w:val="double" w:sz="6" w:space="0" w:color="auto"/>
              <w:bottom w:val="nil"/>
              <w:right w:val="double" w:sz="6" w:space="0" w:color="auto"/>
            </w:tcBorders>
            <w:shd w:val="clear" w:color="auto" w:fill="C5E0B3" w:themeFill="accent6" w:themeFillTint="66"/>
            <w:tcMar>
              <w:top w:w="0" w:type="dxa"/>
              <w:left w:w="30" w:type="dxa"/>
              <w:bottom w:w="0" w:type="dxa"/>
              <w:right w:w="30" w:type="dxa"/>
            </w:tcMar>
            <w:vAlign w:val="center"/>
            <w:hideMark/>
          </w:tcPr>
          <w:p w14:paraId="3087E93E"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Planirane i realizovane kontrole</w:t>
            </w:r>
          </w:p>
        </w:tc>
        <w:tc>
          <w:tcPr>
            <w:tcW w:w="1701" w:type="dxa"/>
            <w:tcBorders>
              <w:top w:val="double" w:sz="6" w:space="0" w:color="auto"/>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690BAB50" w14:textId="77777777" w:rsidR="004549CA" w:rsidRPr="00512BE3" w:rsidRDefault="004549CA" w:rsidP="004549CA">
            <w:pPr>
              <w:autoSpaceDE w:val="0"/>
              <w:autoSpaceDN w:val="0"/>
              <w:jc w:val="center"/>
              <w:rPr>
                <w:rFonts w:eastAsiaTheme="minorHAnsi"/>
                <w:b/>
                <w:color w:val="000000"/>
                <w:sz w:val="18"/>
                <w:szCs w:val="18"/>
                <w:lang w:val="sr-Latn-RS" w:eastAsia="en-GB"/>
              </w:rPr>
            </w:pPr>
            <w:r w:rsidRPr="00512BE3">
              <w:rPr>
                <w:rFonts w:eastAsiaTheme="minorHAnsi"/>
                <w:b/>
                <w:color w:val="000000"/>
                <w:sz w:val="18"/>
                <w:szCs w:val="18"/>
                <w:lang w:val="sr-Latn-RS" w:eastAsia="en-GB"/>
              </w:rPr>
              <w:t>Broj izvršenih kontrola u periodu  I-XII 2021. god.</w:t>
            </w:r>
          </w:p>
        </w:tc>
        <w:tc>
          <w:tcPr>
            <w:tcW w:w="1559" w:type="dxa"/>
            <w:tcBorders>
              <w:top w:val="double" w:sz="6" w:space="0" w:color="auto"/>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7FB81A50" w14:textId="77777777" w:rsidR="004549CA" w:rsidRPr="00512BE3" w:rsidRDefault="004549CA" w:rsidP="004549CA">
            <w:pPr>
              <w:autoSpaceDE w:val="0"/>
              <w:autoSpaceDN w:val="0"/>
              <w:jc w:val="center"/>
              <w:rPr>
                <w:rFonts w:eastAsiaTheme="minorHAnsi"/>
                <w:b/>
                <w:color w:val="000000"/>
                <w:sz w:val="18"/>
                <w:szCs w:val="18"/>
                <w:lang w:val="sr-Latn-RS" w:eastAsia="en-GB"/>
              </w:rPr>
            </w:pPr>
            <w:r w:rsidRPr="00512BE3">
              <w:rPr>
                <w:rFonts w:eastAsiaTheme="minorHAnsi"/>
                <w:b/>
                <w:color w:val="000000"/>
                <w:sz w:val="18"/>
                <w:szCs w:val="18"/>
                <w:lang w:val="sr-Latn-RS" w:eastAsia="en-GB"/>
              </w:rPr>
              <w:t>Broj planiranih kontrola u periodu I-XII 2022. god</w:t>
            </w:r>
          </w:p>
        </w:tc>
        <w:tc>
          <w:tcPr>
            <w:tcW w:w="1418" w:type="dxa"/>
            <w:tcBorders>
              <w:top w:val="double" w:sz="6" w:space="0" w:color="auto"/>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54D671BD" w14:textId="77777777" w:rsidR="004549CA" w:rsidRPr="00512BE3" w:rsidRDefault="004549CA" w:rsidP="004549CA">
            <w:pPr>
              <w:autoSpaceDE w:val="0"/>
              <w:autoSpaceDN w:val="0"/>
              <w:jc w:val="center"/>
              <w:rPr>
                <w:rFonts w:eastAsiaTheme="minorHAnsi"/>
                <w:b/>
                <w:color w:val="000000"/>
                <w:sz w:val="18"/>
                <w:szCs w:val="18"/>
                <w:lang w:val="sr-Latn-RS" w:eastAsia="en-GB"/>
              </w:rPr>
            </w:pPr>
            <w:r w:rsidRPr="00512BE3">
              <w:rPr>
                <w:rFonts w:eastAsiaTheme="minorHAnsi"/>
                <w:b/>
                <w:color w:val="000000"/>
                <w:sz w:val="18"/>
                <w:szCs w:val="18"/>
                <w:lang w:val="sr-Latn-RS" w:eastAsia="en-GB"/>
              </w:rPr>
              <w:t>Broj izvršenih kontrola u periodu I-XII 2022. god</w:t>
            </w:r>
          </w:p>
        </w:tc>
        <w:tc>
          <w:tcPr>
            <w:tcW w:w="1559" w:type="dxa"/>
            <w:tcBorders>
              <w:top w:val="double" w:sz="6" w:space="0" w:color="auto"/>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41D6311C" w14:textId="77777777" w:rsidR="004549CA" w:rsidRPr="00512BE3" w:rsidRDefault="004549CA" w:rsidP="004549CA">
            <w:pPr>
              <w:autoSpaceDE w:val="0"/>
              <w:autoSpaceDN w:val="0"/>
              <w:jc w:val="center"/>
              <w:rPr>
                <w:rFonts w:eastAsiaTheme="minorHAnsi"/>
                <w:b/>
                <w:color w:val="000000"/>
                <w:sz w:val="18"/>
                <w:szCs w:val="18"/>
                <w:lang w:val="sr-Latn-RS" w:eastAsia="en-GB"/>
              </w:rPr>
            </w:pPr>
            <w:r w:rsidRPr="00512BE3">
              <w:rPr>
                <w:rFonts w:eastAsiaTheme="minorHAnsi"/>
                <w:b/>
                <w:color w:val="000000"/>
                <w:sz w:val="18"/>
                <w:szCs w:val="18"/>
                <w:lang w:val="sr-Latn-RS" w:eastAsia="en-GB"/>
              </w:rPr>
              <w:t>Broj izvršenih kontrola u periodu I-XII 2022. god u odnosu na period  I-XII 2021. god. (%)</w:t>
            </w:r>
          </w:p>
        </w:tc>
        <w:tc>
          <w:tcPr>
            <w:tcW w:w="1701" w:type="dxa"/>
            <w:tcBorders>
              <w:top w:val="double" w:sz="6" w:space="0" w:color="auto"/>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5126C3A8" w14:textId="77777777" w:rsidR="004549CA" w:rsidRPr="00512BE3" w:rsidRDefault="004549CA" w:rsidP="004549CA">
            <w:pPr>
              <w:autoSpaceDE w:val="0"/>
              <w:autoSpaceDN w:val="0"/>
              <w:jc w:val="center"/>
              <w:rPr>
                <w:rFonts w:eastAsiaTheme="minorHAnsi"/>
                <w:b/>
                <w:color w:val="000000"/>
                <w:sz w:val="18"/>
                <w:szCs w:val="18"/>
                <w:lang w:val="sr-Latn-RS" w:eastAsia="en-GB"/>
              </w:rPr>
            </w:pPr>
            <w:r w:rsidRPr="00512BE3">
              <w:rPr>
                <w:rFonts w:eastAsiaTheme="minorHAnsi"/>
                <w:b/>
                <w:color w:val="000000"/>
                <w:sz w:val="18"/>
                <w:szCs w:val="18"/>
                <w:lang w:val="sr-Latn-RS" w:eastAsia="en-GB"/>
              </w:rPr>
              <w:t>Realizacija planiranih kontrola za period I-XII 2022. god (%)</w:t>
            </w:r>
          </w:p>
        </w:tc>
      </w:tr>
      <w:tr w:rsidR="004549CA" w:rsidRPr="00512BE3" w14:paraId="74D3CA4C" w14:textId="77777777" w:rsidTr="004549CA">
        <w:trPr>
          <w:trHeight w:val="315"/>
        </w:trPr>
        <w:tc>
          <w:tcPr>
            <w:tcW w:w="1448" w:type="dxa"/>
            <w:tcBorders>
              <w:top w:val="nil"/>
              <w:left w:val="double" w:sz="6" w:space="0" w:color="auto"/>
              <w:bottom w:val="double" w:sz="6" w:space="0" w:color="000000"/>
              <w:right w:val="double" w:sz="6" w:space="0" w:color="auto"/>
            </w:tcBorders>
            <w:shd w:val="clear" w:color="auto" w:fill="C5E0B3" w:themeFill="accent6" w:themeFillTint="66"/>
            <w:tcMar>
              <w:top w:w="0" w:type="dxa"/>
              <w:left w:w="30" w:type="dxa"/>
              <w:bottom w:w="0" w:type="dxa"/>
              <w:right w:w="30" w:type="dxa"/>
            </w:tcMar>
          </w:tcPr>
          <w:p w14:paraId="6F654463" w14:textId="77777777" w:rsidR="004549CA" w:rsidRPr="00512BE3" w:rsidRDefault="004549CA" w:rsidP="004549CA">
            <w:pPr>
              <w:autoSpaceDE w:val="0"/>
              <w:autoSpaceDN w:val="0"/>
              <w:jc w:val="center"/>
              <w:rPr>
                <w:rFonts w:eastAsiaTheme="minorHAnsi"/>
                <w:b/>
                <w:bCs/>
                <w:color w:val="000000"/>
                <w:sz w:val="20"/>
                <w:szCs w:val="20"/>
                <w:lang w:val="sr-Latn-RS" w:eastAsia="en-GB"/>
              </w:rPr>
            </w:pPr>
          </w:p>
        </w:tc>
        <w:tc>
          <w:tcPr>
            <w:tcW w:w="1701"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hideMark/>
          </w:tcPr>
          <w:p w14:paraId="1AFD86DF"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w:t>
            </w:r>
          </w:p>
        </w:tc>
        <w:tc>
          <w:tcPr>
            <w:tcW w:w="1559"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hideMark/>
          </w:tcPr>
          <w:p w14:paraId="0B2BEB10"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2</w:t>
            </w:r>
          </w:p>
        </w:tc>
        <w:tc>
          <w:tcPr>
            <w:tcW w:w="1418"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hideMark/>
          </w:tcPr>
          <w:p w14:paraId="2EE57452"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3</w:t>
            </w:r>
          </w:p>
        </w:tc>
        <w:tc>
          <w:tcPr>
            <w:tcW w:w="1559"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hideMark/>
          </w:tcPr>
          <w:p w14:paraId="33AC2769"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4 (3/1)</w:t>
            </w:r>
          </w:p>
        </w:tc>
        <w:tc>
          <w:tcPr>
            <w:tcW w:w="1701"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hideMark/>
          </w:tcPr>
          <w:p w14:paraId="6E70B4C5"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5 (3/2)</w:t>
            </w:r>
          </w:p>
        </w:tc>
      </w:tr>
      <w:tr w:rsidR="004549CA" w:rsidRPr="00512BE3" w14:paraId="685A4C4A" w14:textId="77777777" w:rsidTr="0071751E">
        <w:trPr>
          <w:trHeight w:val="170"/>
        </w:trPr>
        <w:tc>
          <w:tcPr>
            <w:tcW w:w="1448" w:type="dxa"/>
            <w:tcBorders>
              <w:top w:val="nil"/>
              <w:left w:val="double" w:sz="6" w:space="0" w:color="auto"/>
              <w:bottom w:val="double" w:sz="6" w:space="0" w:color="auto"/>
              <w:right w:val="double" w:sz="6" w:space="0" w:color="auto"/>
            </w:tcBorders>
            <w:tcMar>
              <w:top w:w="0" w:type="dxa"/>
              <w:left w:w="30" w:type="dxa"/>
              <w:bottom w:w="0" w:type="dxa"/>
              <w:right w:w="30" w:type="dxa"/>
            </w:tcMar>
            <w:hideMark/>
          </w:tcPr>
          <w:p w14:paraId="7C04B2A0" w14:textId="77777777" w:rsidR="004549CA" w:rsidRPr="00512BE3" w:rsidRDefault="004549CA" w:rsidP="004549CA">
            <w:pPr>
              <w:autoSpaceDE w:val="0"/>
              <w:autoSpaceDN w:val="0"/>
              <w:rPr>
                <w:rFonts w:eastAsiaTheme="minorHAnsi"/>
                <w:b/>
                <w:color w:val="000000"/>
                <w:sz w:val="22"/>
                <w:szCs w:val="22"/>
                <w:lang w:val="sr-Latn-RS" w:eastAsia="en-GB"/>
              </w:rPr>
            </w:pPr>
            <w:r w:rsidRPr="00512BE3">
              <w:rPr>
                <w:rFonts w:eastAsiaTheme="minorHAnsi"/>
                <w:b/>
                <w:color w:val="000000"/>
                <w:sz w:val="22"/>
                <w:szCs w:val="22"/>
                <w:lang w:val="sr-Latn-RS" w:eastAsia="en-GB"/>
              </w:rPr>
              <w:t>Banjaluka</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5B45AF6A"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1.600</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1B676920"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1.158</w:t>
            </w:r>
          </w:p>
        </w:tc>
        <w:tc>
          <w:tcPr>
            <w:tcW w:w="1418" w:type="dxa"/>
            <w:tcBorders>
              <w:top w:val="nil"/>
              <w:left w:val="nil"/>
              <w:bottom w:val="double" w:sz="6" w:space="0" w:color="auto"/>
              <w:right w:val="double" w:sz="6" w:space="0" w:color="auto"/>
            </w:tcBorders>
            <w:tcMar>
              <w:top w:w="0" w:type="dxa"/>
              <w:left w:w="30" w:type="dxa"/>
              <w:bottom w:w="0" w:type="dxa"/>
              <w:right w:w="30" w:type="dxa"/>
            </w:tcMar>
            <w:hideMark/>
          </w:tcPr>
          <w:p w14:paraId="6938AE83"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1.449</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3E8BD924"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91%</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16161618"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125%</w:t>
            </w:r>
          </w:p>
        </w:tc>
      </w:tr>
      <w:tr w:rsidR="004549CA" w:rsidRPr="00512BE3" w14:paraId="1D985299" w14:textId="77777777" w:rsidTr="0071751E">
        <w:trPr>
          <w:trHeight w:val="170"/>
        </w:trPr>
        <w:tc>
          <w:tcPr>
            <w:tcW w:w="1448" w:type="dxa"/>
            <w:tcBorders>
              <w:top w:val="nil"/>
              <w:left w:val="double" w:sz="6" w:space="0" w:color="auto"/>
              <w:bottom w:val="double" w:sz="6" w:space="0" w:color="auto"/>
              <w:right w:val="double" w:sz="6" w:space="0" w:color="auto"/>
            </w:tcBorders>
            <w:tcMar>
              <w:top w:w="0" w:type="dxa"/>
              <w:left w:w="30" w:type="dxa"/>
              <w:bottom w:w="0" w:type="dxa"/>
              <w:right w:w="30" w:type="dxa"/>
            </w:tcMar>
            <w:hideMark/>
          </w:tcPr>
          <w:p w14:paraId="6B2DAE36" w14:textId="77777777" w:rsidR="004549CA" w:rsidRPr="00512BE3" w:rsidRDefault="004549CA" w:rsidP="004549CA">
            <w:pPr>
              <w:autoSpaceDE w:val="0"/>
              <w:autoSpaceDN w:val="0"/>
              <w:rPr>
                <w:rFonts w:eastAsiaTheme="minorHAnsi"/>
                <w:b/>
                <w:color w:val="000000"/>
                <w:sz w:val="22"/>
                <w:szCs w:val="22"/>
                <w:lang w:val="sr-Latn-RS" w:eastAsia="en-GB"/>
              </w:rPr>
            </w:pPr>
            <w:r w:rsidRPr="00512BE3">
              <w:rPr>
                <w:rFonts w:eastAsiaTheme="minorHAnsi"/>
                <w:b/>
                <w:color w:val="000000"/>
                <w:sz w:val="22"/>
                <w:szCs w:val="22"/>
                <w:lang w:val="sr-Latn-RS" w:eastAsia="en-GB"/>
              </w:rPr>
              <w:t>Mostar</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52814D12"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1.361</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45768454"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1.455</w:t>
            </w:r>
          </w:p>
        </w:tc>
        <w:tc>
          <w:tcPr>
            <w:tcW w:w="1418" w:type="dxa"/>
            <w:tcBorders>
              <w:top w:val="nil"/>
              <w:left w:val="nil"/>
              <w:bottom w:val="double" w:sz="6" w:space="0" w:color="auto"/>
              <w:right w:val="double" w:sz="6" w:space="0" w:color="auto"/>
            </w:tcBorders>
            <w:tcMar>
              <w:top w:w="0" w:type="dxa"/>
              <w:left w:w="30" w:type="dxa"/>
              <w:bottom w:w="0" w:type="dxa"/>
              <w:right w:w="30" w:type="dxa"/>
            </w:tcMar>
            <w:hideMark/>
          </w:tcPr>
          <w:p w14:paraId="6EBF6DB8"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1.237</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40E11891"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91%</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16783BBC"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85%</w:t>
            </w:r>
          </w:p>
        </w:tc>
      </w:tr>
      <w:tr w:rsidR="004549CA" w:rsidRPr="00512BE3" w14:paraId="54DD30BA" w14:textId="77777777" w:rsidTr="0071751E">
        <w:trPr>
          <w:trHeight w:val="170"/>
        </w:trPr>
        <w:tc>
          <w:tcPr>
            <w:tcW w:w="1448" w:type="dxa"/>
            <w:tcBorders>
              <w:top w:val="nil"/>
              <w:left w:val="double" w:sz="6" w:space="0" w:color="auto"/>
              <w:bottom w:val="double" w:sz="6" w:space="0" w:color="auto"/>
              <w:right w:val="double" w:sz="6" w:space="0" w:color="auto"/>
            </w:tcBorders>
            <w:tcMar>
              <w:top w:w="0" w:type="dxa"/>
              <w:left w:w="30" w:type="dxa"/>
              <w:bottom w:w="0" w:type="dxa"/>
              <w:right w:w="30" w:type="dxa"/>
            </w:tcMar>
            <w:hideMark/>
          </w:tcPr>
          <w:p w14:paraId="77A56D01" w14:textId="77777777" w:rsidR="004549CA" w:rsidRPr="00512BE3" w:rsidRDefault="004549CA" w:rsidP="004549CA">
            <w:pPr>
              <w:autoSpaceDE w:val="0"/>
              <w:autoSpaceDN w:val="0"/>
              <w:rPr>
                <w:rFonts w:eastAsiaTheme="minorHAnsi"/>
                <w:b/>
                <w:color w:val="000000"/>
                <w:sz w:val="22"/>
                <w:szCs w:val="22"/>
                <w:lang w:val="sr-Latn-RS" w:eastAsia="en-GB"/>
              </w:rPr>
            </w:pPr>
            <w:r w:rsidRPr="00512BE3">
              <w:rPr>
                <w:rFonts w:eastAsiaTheme="minorHAnsi"/>
                <w:b/>
                <w:color w:val="000000"/>
                <w:sz w:val="22"/>
                <w:szCs w:val="22"/>
                <w:lang w:val="sr-Latn-RS" w:eastAsia="en-GB"/>
              </w:rPr>
              <w:lastRenderedPageBreak/>
              <w:t>Sarajevo</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2053ACC3"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2.394</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45176FCF"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2.324</w:t>
            </w:r>
          </w:p>
        </w:tc>
        <w:tc>
          <w:tcPr>
            <w:tcW w:w="1418" w:type="dxa"/>
            <w:tcBorders>
              <w:top w:val="nil"/>
              <w:left w:val="nil"/>
              <w:bottom w:val="double" w:sz="6" w:space="0" w:color="auto"/>
              <w:right w:val="double" w:sz="6" w:space="0" w:color="auto"/>
            </w:tcBorders>
            <w:tcMar>
              <w:top w:w="0" w:type="dxa"/>
              <w:left w:w="30" w:type="dxa"/>
              <w:bottom w:w="0" w:type="dxa"/>
              <w:right w:w="30" w:type="dxa"/>
            </w:tcMar>
            <w:hideMark/>
          </w:tcPr>
          <w:p w14:paraId="2F29302B"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2.349</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5A299E89"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98%</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09B3E176"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101%</w:t>
            </w:r>
          </w:p>
        </w:tc>
      </w:tr>
      <w:tr w:rsidR="004549CA" w:rsidRPr="00512BE3" w14:paraId="56F49DC9" w14:textId="77777777" w:rsidTr="0071751E">
        <w:trPr>
          <w:trHeight w:val="170"/>
        </w:trPr>
        <w:tc>
          <w:tcPr>
            <w:tcW w:w="1448" w:type="dxa"/>
            <w:tcBorders>
              <w:top w:val="nil"/>
              <w:left w:val="double" w:sz="6" w:space="0" w:color="auto"/>
              <w:bottom w:val="double" w:sz="6" w:space="0" w:color="auto"/>
              <w:right w:val="double" w:sz="6" w:space="0" w:color="auto"/>
            </w:tcBorders>
            <w:tcMar>
              <w:top w:w="0" w:type="dxa"/>
              <w:left w:w="30" w:type="dxa"/>
              <w:bottom w:w="0" w:type="dxa"/>
              <w:right w:w="30" w:type="dxa"/>
            </w:tcMar>
            <w:hideMark/>
          </w:tcPr>
          <w:p w14:paraId="44A326A3" w14:textId="77777777" w:rsidR="004549CA" w:rsidRPr="00512BE3" w:rsidRDefault="004549CA" w:rsidP="004549CA">
            <w:pPr>
              <w:autoSpaceDE w:val="0"/>
              <w:autoSpaceDN w:val="0"/>
              <w:rPr>
                <w:rFonts w:eastAsiaTheme="minorHAnsi"/>
                <w:b/>
                <w:color w:val="000000"/>
                <w:sz w:val="22"/>
                <w:szCs w:val="22"/>
                <w:lang w:val="sr-Latn-RS" w:eastAsia="en-GB"/>
              </w:rPr>
            </w:pPr>
            <w:r w:rsidRPr="00512BE3">
              <w:rPr>
                <w:rFonts w:eastAsiaTheme="minorHAnsi"/>
                <w:b/>
                <w:color w:val="000000"/>
                <w:sz w:val="22"/>
                <w:szCs w:val="22"/>
                <w:lang w:val="sr-Latn-RS" w:eastAsia="en-GB"/>
              </w:rPr>
              <w:t>Tuzla</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420E179A"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1.913</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31AC475D"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1.825</w:t>
            </w:r>
          </w:p>
        </w:tc>
        <w:tc>
          <w:tcPr>
            <w:tcW w:w="1418" w:type="dxa"/>
            <w:tcBorders>
              <w:top w:val="nil"/>
              <w:left w:val="nil"/>
              <w:bottom w:val="double" w:sz="6" w:space="0" w:color="auto"/>
              <w:right w:val="double" w:sz="6" w:space="0" w:color="auto"/>
            </w:tcBorders>
            <w:tcMar>
              <w:top w:w="0" w:type="dxa"/>
              <w:left w:w="30" w:type="dxa"/>
              <w:bottom w:w="0" w:type="dxa"/>
              <w:right w:w="30" w:type="dxa"/>
            </w:tcMar>
            <w:hideMark/>
          </w:tcPr>
          <w:p w14:paraId="393A7B26"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1.934</w:t>
            </w:r>
          </w:p>
        </w:tc>
        <w:tc>
          <w:tcPr>
            <w:tcW w:w="1559" w:type="dxa"/>
            <w:tcBorders>
              <w:top w:val="nil"/>
              <w:left w:val="nil"/>
              <w:bottom w:val="double" w:sz="6" w:space="0" w:color="auto"/>
              <w:right w:val="double" w:sz="6" w:space="0" w:color="auto"/>
            </w:tcBorders>
            <w:tcMar>
              <w:top w:w="0" w:type="dxa"/>
              <w:left w:w="30" w:type="dxa"/>
              <w:bottom w:w="0" w:type="dxa"/>
              <w:right w:w="30" w:type="dxa"/>
            </w:tcMar>
            <w:hideMark/>
          </w:tcPr>
          <w:p w14:paraId="13933BC5"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101%</w:t>
            </w:r>
          </w:p>
        </w:tc>
        <w:tc>
          <w:tcPr>
            <w:tcW w:w="1701" w:type="dxa"/>
            <w:tcBorders>
              <w:top w:val="nil"/>
              <w:left w:val="nil"/>
              <w:bottom w:val="double" w:sz="6" w:space="0" w:color="auto"/>
              <w:right w:val="double" w:sz="6" w:space="0" w:color="auto"/>
            </w:tcBorders>
            <w:tcMar>
              <w:top w:w="0" w:type="dxa"/>
              <w:left w:w="30" w:type="dxa"/>
              <w:bottom w:w="0" w:type="dxa"/>
              <w:right w:w="30" w:type="dxa"/>
            </w:tcMar>
            <w:hideMark/>
          </w:tcPr>
          <w:p w14:paraId="1268BBAD"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106%</w:t>
            </w:r>
          </w:p>
        </w:tc>
      </w:tr>
      <w:tr w:rsidR="004549CA" w:rsidRPr="00512BE3" w14:paraId="7827D965" w14:textId="77777777" w:rsidTr="004549CA">
        <w:trPr>
          <w:trHeight w:val="170"/>
        </w:trPr>
        <w:tc>
          <w:tcPr>
            <w:tcW w:w="1448" w:type="dxa"/>
            <w:tcBorders>
              <w:top w:val="nil"/>
              <w:left w:val="double" w:sz="6" w:space="0" w:color="auto"/>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0155FBDE" w14:textId="77777777" w:rsidR="004549CA" w:rsidRPr="00512BE3" w:rsidRDefault="004549CA" w:rsidP="004549CA">
            <w:pPr>
              <w:autoSpaceDE w:val="0"/>
              <w:autoSpaceDN w:val="0"/>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Ukupno sve kontrole</w:t>
            </w:r>
          </w:p>
        </w:tc>
        <w:tc>
          <w:tcPr>
            <w:tcW w:w="1701"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5AAC30F0"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7.268</w:t>
            </w:r>
          </w:p>
        </w:tc>
        <w:tc>
          <w:tcPr>
            <w:tcW w:w="1559"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1ADE575C"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6.761</w:t>
            </w:r>
          </w:p>
        </w:tc>
        <w:tc>
          <w:tcPr>
            <w:tcW w:w="1418"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5ECA2023"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6.969</w:t>
            </w:r>
          </w:p>
        </w:tc>
        <w:tc>
          <w:tcPr>
            <w:tcW w:w="1559"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0B3FD601"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96%</w:t>
            </w:r>
          </w:p>
        </w:tc>
        <w:tc>
          <w:tcPr>
            <w:tcW w:w="1701"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2B019E6F"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103%</w:t>
            </w:r>
          </w:p>
        </w:tc>
      </w:tr>
      <w:tr w:rsidR="004549CA" w:rsidRPr="00512BE3" w14:paraId="4D42AB7F" w14:textId="77777777" w:rsidTr="004549CA">
        <w:trPr>
          <w:trHeight w:val="170"/>
        </w:trPr>
        <w:tc>
          <w:tcPr>
            <w:tcW w:w="1448" w:type="dxa"/>
            <w:tcBorders>
              <w:top w:val="nil"/>
              <w:left w:val="double" w:sz="6" w:space="0" w:color="auto"/>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2BCBE610" w14:textId="77777777" w:rsidR="004549CA" w:rsidRPr="00512BE3" w:rsidRDefault="004549CA" w:rsidP="004549CA">
            <w:pPr>
              <w:autoSpaceDE w:val="0"/>
              <w:autoSpaceDN w:val="0"/>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Ukupno potpune kontrole</w:t>
            </w:r>
          </w:p>
        </w:tc>
        <w:tc>
          <w:tcPr>
            <w:tcW w:w="1701"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4845BCB8"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5.272</w:t>
            </w:r>
          </w:p>
        </w:tc>
        <w:tc>
          <w:tcPr>
            <w:tcW w:w="1559"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3665AE92"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4.870</w:t>
            </w:r>
          </w:p>
        </w:tc>
        <w:tc>
          <w:tcPr>
            <w:tcW w:w="1418"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75E6D4B4" w14:textId="77777777" w:rsidR="004549CA" w:rsidRPr="00512BE3" w:rsidRDefault="004549CA" w:rsidP="004549CA">
            <w:pPr>
              <w:autoSpaceDE w:val="0"/>
              <w:autoSpaceDN w:val="0"/>
              <w:jc w:val="center"/>
              <w:rPr>
                <w:rFonts w:eastAsiaTheme="minorHAnsi"/>
                <w:b/>
                <w:bCs/>
                <w:color w:val="000000"/>
                <w:sz w:val="20"/>
                <w:szCs w:val="20"/>
                <w:lang w:val="sr-Latn-RS" w:eastAsia="en-GB"/>
              </w:rPr>
            </w:pPr>
            <w:r w:rsidRPr="00512BE3">
              <w:rPr>
                <w:rFonts w:eastAsiaTheme="minorHAnsi"/>
                <w:b/>
                <w:bCs/>
                <w:color w:val="000000"/>
                <w:sz w:val="20"/>
                <w:szCs w:val="20"/>
                <w:lang w:val="sr-Latn-RS" w:eastAsia="en-GB"/>
              </w:rPr>
              <w:t>4.925</w:t>
            </w:r>
          </w:p>
        </w:tc>
        <w:tc>
          <w:tcPr>
            <w:tcW w:w="1559"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337AEA0A"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93%</w:t>
            </w:r>
          </w:p>
        </w:tc>
        <w:tc>
          <w:tcPr>
            <w:tcW w:w="1701" w:type="dxa"/>
            <w:tcBorders>
              <w:top w:val="nil"/>
              <w:left w:val="nil"/>
              <w:bottom w:val="double" w:sz="6" w:space="0" w:color="auto"/>
              <w:right w:val="double" w:sz="6" w:space="0" w:color="auto"/>
            </w:tcBorders>
            <w:shd w:val="clear" w:color="auto" w:fill="C5E0B3" w:themeFill="accent6" w:themeFillTint="66"/>
            <w:tcMar>
              <w:top w:w="0" w:type="dxa"/>
              <w:left w:w="30" w:type="dxa"/>
              <w:bottom w:w="0" w:type="dxa"/>
              <w:right w:w="30" w:type="dxa"/>
            </w:tcMar>
            <w:vAlign w:val="center"/>
            <w:hideMark/>
          </w:tcPr>
          <w:p w14:paraId="0D7143CC" w14:textId="77777777" w:rsidR="004549CA" w:rsidRPr="00512BE3" w:rsidRDefault="004549CA" w:rsidP="004549CA">
            <w:pPr>
              <w:autoSpaceDE w:val="0"/>
              <w:autoSpaceDN w:val="0"/>
              <w:jc w:val="center"/>
              <w:rPr>
                <w:rFonts w:eastAsiaTheme="minorHAnsi"/>
                <w:color w:val="000000"/>
                <w:sz w:val="20"/>
                <w:szCs w:val="20"/>
                <w:lang w:val="sr-Latn-RS" w:eastAsia="en-GB"/>
              </w:rPr>
            </w:pPr>
            <w:r w:rsidRPr="00512BE3">
              <w:rPr>
                <w:rFonts w:eastAsiaTheme="minorHAnsi"/>
                <w:color w:val="000000"/>
                <w:sz w:val="20"/>
                <w:szCs w:val="20"/>
                <w:lang w:val="sr-Latn-RS" w:eastAsia="en-GB"/>
              </w:rPr>
              <w:t>101%</w:t>
            </w:r>
          </w:p>
        </w:tc>
      </w:tr>
    </w:tbl>
    <w:p w14:paraId="5FEEB303" w14:textId="77777777" w:rsidR="00A83463" w:rsidRDefault="00A83463" w:rsidP="002722B0">
      <w:pPr>
        <w:pStyle w:val="ListParagraph"/>
        <w:ind w:left="0"/>
        <w:contextualSpacing w:val="0"/>
        <w:jc w:val="both"/>
        <w:rPr>
          <w:sz w:val="22"/>
          <w:szCs w:val="22"/>
          <w:lang w:val="sr-Latn-BA"/>
        </w:rPr>
      </w:pPr>
    </w:p>
    <w:p w14:paraId="3FC165DA" w14:textId="5566B305" w:rsidR="00924733" w:rsidRDefault="004549CA" w:rsidP="002722B0">
      <w:pPr>
        <w:pStyle w:val="ListParagraph"/>
        <w:ind w:left="0"/>
        <w:contextualSpacing w:val="0"/>
        <w:jc w:val="both"/>
        <w:rPr>
          <w:sz w:val="22"/>
          <w:szCs w:val="22"/>
          <w:lang w:val="sr-Latn-BA"/>
        </w:rPr>
      </w:pPr>
      <w:r w:rsidRPr="00512BE3">
        <w:rPr>
          <w:sz w:val="22"/>
          <w:szCs w:val="22"/>
          <w:lang w:val="sr-Latn-BA"/>
        </w:rPr>
        <w:t>Ukupni bruto efekti tj. razrezi dodatno utvrđene obaveze po rješenjima inspektora u kontrolama iznose 49.742.047,00 KM, dok neto efekti (koji se dobiju kada se od bruto efekta oduzmu iznosi poništenih rješenja iz tekuće i prethodnih godina)  iznose 38.818.595,00 KM. Bruto efekti  u izvještajnom periodu veći su za 2,79 % u odnosu na isti period 2021. godine, kad su iznosili 48.392.650,00</w:t>
      </w:r>
      <w:r w:rsidR="00215B41">
        <w:rPr>
          <w:sz w:val="22"/>
          <w:szCs w:val="22"/>
          <w:lang w:val="sr-Latn-BA"/>
        </w:rPr>
        <w:t xml:space="preserve"> </w:t>
      </w:r>
      <w:r w:rsidRPr="00512BE3">
        <w:rPr>
          <w:sz w:val="22"/>
          <w:szCs w:val="22"/>
          <w:lang w:val="sr-Latn-BA"/>
        </w:rPr>
        <w:t xml:space="preserve">KM. Neto efekti kontrola su 38.818.595,00 KM  i manji su za 1,43 % u odnosu na isti period 2021. godine, kada su iznosili 39.383.136,00 KM, a kao rezultat poništenih prvostepenih rješenja iz ranijih perioda u drugostepenim upravnim postupcima u kojima su rješenja postala konačna u ovom izvještajnom periodu i predmeti vraćeni na ponovni postupak. </w:t>
      </w:r>
      <w:r w:rsidR="003D5318" w:rsidRPr="00512BE3">
        <w:rPr>
          <w:sz w:val="22"/>
          <w:szCs w:val="22"/>
          <w:lang w:val="sr-Latn-BA"/>
        </w:rPr>
        <w:t>(</w:t>
      </w:r>
      <w:r w:rsidR="008948DE" w:rsidRPr="00512BE3">
        <w:rPr>
          <w:i/>
          <w:sz w:val="22"/>
          <w:szCs w:val="22"/>
          <w:lang w:val="sr-Latn-BA"/>
        </w:rPr>
        <w:t>Tabela 1</w:t>
      </w:r>
      <w:r w:rsidR="007D061D" w:rsidRPr="00512BE3">
        <w:rPr>
          <w:i/>
          <w:sz w:val="22"/>
          <w:szCs w:val="22"/>
          <w:lang w:val="sr-Latn-BA"/>
        </w:rPr>
        <w:t>0</w:t>
      </w:r>
      <w:r w:rsidR="003D5318" w:rsidRPr="00512BE3">
        <w:rPr>
          <w:sz w:val="22"/>
          <w:szCs w:val="22"/>
          <w:lang w:val="sr-Latn-BA"/>
        </w:rPr>
        <w:t xml:space="preserve">) </w:t>
      </w:r>
    </w:p>
    <w:p w14:paraId="05A6AAB2" w14:textId="77777777" w:rsidR="00A83463" w:rsidRPr="00512BE3" w:rsidRDefault="00A83463" w:rsidP="002722B0">
      <w:pPr>
        <w:pStyle w:val="ListParagraph"/>
        <w:ind w:left="0"/>
        <w:contextualSpacing w:val="0"/>
        <w:jc w:val="both"/>
        <w:rPr>
          <w:sz w:val="22"/>
          <w:szCs w:val="22"/>
          <w:lang w:val="sr-Latn-BA"/>
        </w:rPr>
      </w:pPr>
    </w:p>
    <w:p w14:paraId="2AE4E277" w14:textId="4A434152" w:rsidR="003D5318" w:rsidRPr="00512BE3" w:rsidRDefault="00752411" w:rsidP="002722B0">
      <w:pPr>
        <w:pStyle w:val="ListParagraph"/>
        <w:ind w:left="0"/>
        <w:contextualSpacing w:val="0"/>
        <w:jc w:val="both"/>
        <w:rPr>
          <w:sz w:val="22"/>
          <w:szCs w:val="22"/>
          <w:lang w:val="sr-Latn-BA"/>
        </w:rPr>
      </w:pPr>
      <w:r w:rsidRPr="00512BE3">
        <w:rPr>
          <w:b/>
          <w:i/>
          <w:sz w:val="22"/>
          <w:szCs w:val="22"/>
          <w:lang w:val="sr-Latn-BA"/>
        </w:rPr>
        <w:t>Tabela 1</w:t>
      </w:r>
      <w:r w:rsidR="007D061D" w:rsidRPr="00512BE3">
        <w:rPr>
          <w:b/>
          <w:i/>
          <w:sz w:val="22"/>
          <w:szCs w:val="22"/>
          <w:lang w:val="sr-Latn-BA"/>
        </w:rPr>
        <w:t>0</w:t>
      </w:r>
      <w:r w:rsidR="008948DE" w:rsidRPr="00512BE3">
        <w:rPr>
          <w:b/>
          <w:i/>
          <w:sz w:val="22"/>
          <w:szCs w:val="22"/>
          <w:lang w:val="sr-Latn-BA"/>
        </w:rPr>
        <w:t>:</w:t>
      </w:r>
      <w:r w:rsidR="00642476" w:rsidRPr="00512BE3">
        <w:rPr>
          <w:b/>
          <w:i/>
          <w:sz w:val="22"/>
          <w:szCs w:val="22"/>
          <w:lang w:val="sr-Latn-BA"/>
        </w:rPr>
        <w:t xml:space="preserve"> </w:t>
      </w:r>
      <w:r w:rsidR="003D5318" w:rsidRPr="00512BE3">
        <w:rPr>
          <w:b/>
          <w:i/>
          <w:sz w:val="22"/>
          <w:szCs w:val="22"/>
          <w:lang w:val="sr-Latn-BA"/>
        </w:rPr>
        <w:t>Pokazatelji rada Odsjeka za reviziju i kontrolu – efekti</w:t>
      </w:r>
    </w:p>
    <w:tbl>
      <w:tblPr>
        <w:tblW w:w="8989" w:type="dxa"/>
        <w:tblInd w:w="-13" w:type="dxa"/>
        <w:tblCellMar>
          <w:left w:w="0" w:type="dxa"/>
          <w:right w:w="0" w:type="dxa"/>
        </w:tblCellMar>
        <w:tblLook w:val="04A0" w:firstRow="1" w:lastRow="0" w:firstColumn="1" w:lastColumn="0" w:noHBand="0" w:noVBand="1"/>
      </w:tblPr>
      <w:tblGrid>
        <w:gridCol w:w="717"/>
        <w:gridCol w:w="3977"/>
        <w:gridCol w:w="1087"/>
        <w:gridCol w:w="1087"/>
        <w:gridCol w:w="1053"/>
        <w:gridCol w:w="1068"/>
      </w:tblGrid>
      <w:tr w:rsidR="004549CA" w:rsidRPr="00512BE3" w14:paraId="1BDB2E05" w14:textId="77777777" w:rsidTr="00A560C5">
        <w:trPr>
          <w:trHeight w:val="228"/>
        </w:trPr>
        <w:tc>
          <w:tcPr>
            <w:tcW w:w="717"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2382C6D" w14:textId="77777777" w:rsidR="004549CA" w:rsidRPr="00512BE3" w:rsidRDefault="004549CA" w:rsidP="004549CA">
            <w:pPr>
              <w:jc w:val="center"/>
              <w:rPr>
                <w:rFonts w:eastAsiaTheme="minorHAnsi"/>
                <w:b/>
                <w:bCs/>
                <w:color w:val="000000"/>
                <w:sz w:val="18"/>
                <w:szCs w:val="18"/>
                <w:lang w:val="sr-Latn-RS" w:eastAsia="en-GB"/>
              </w:rPr>
            </w:pPr>
            <w:bookmarkStart w:id="23" w:name="_Toc499897750"/>
            <w:bookmarkStart w:id="24" w:name="_Toc499897777"/>
            <w:bookmarkStart w:id="25" w:name="_Toc499898763"/>
            <w:bookmarkStart w:id="26" w:name="_Toc499901416"/>
            <w:r w:rsidRPr="00512BE3">
              <w:rPr>
                <w:rFonts w:eastAsiaTheme="minorHAnsi"/>
                <w:b/>
                <w:bCs/>
                <w:color w:val="000000"/>
                <w:sz w:val="18"/>
                <w:szCs w:val="18"/>
                <w:lang w:val="sr-Latn-RS" w:eastAsia="en-GB"/>
              </w:rPr>
              <w:t>Redni</w:t>
            </w:r>
            <w:r w:rsidRPr="00512BE3">
              <w:rPr>
                <w:rFonts w:eastAsiaTheme="minorHAnsi"/>
                <w:b/>
                <w:bCs/>
                <w:color w:val="000000"/>
                <w:sz w:val="18"/>
                <w:szCs w:val="18"/>
                <w:lang w:val="sr-Latn-RS" w:eastAsia="en-GB"/>
              </w:rPr>
              <w:br/>
              <w:t>broj</w:t>
            </w:r>
          </w:p>
        </w:tc>
        <w:tc>
          <w:tcPr>
            <w:tcW w:w="3977"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500D3BFF"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Radni zadaci</w:t>
            </w:r>
          </w:p>
        </w:tc>
        <w:tc>
          <w:tcPr>
            <w:tcW w:w="1087"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26C37CC8"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I-XII 2022.</w:t>
            </w:r>
          </w:p>
        </w:tc>
        <w:tc>
          <w:tcPr>
            <w:tcW w:w="1087"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3496C1A6"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I-XII 2021.</w:t>
            </w:r>
          </w:p>
        </w:tc>
        <w:tc>
          <w:tcPr>
            <w:tcW w:w="1053"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168FD19A"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Razlika</w:t>
            </w:r>
          </w:p>
        </w:tc>
        <w:tc>
          <w:tcPr>
            <w:tcW w:w="1068"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2668C1AF"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Procenat povećanja /smanjenja u %</w:t>
            </w:r>
          </w:p>
        </w:tc>
      </w:tr>
      <w:tr w:rsidR="004549CA" w:rsidRPr="00512BE3" w14:paraId="13EBFE4E" w14:textId="77777777" w:rsidTr="00A560C5">
        <w:trPr>
          <w:trHeight w:val="194"/>
        </w:trPr>
        <w:tc>
          <w:tcPr>
            <w:tcW w:w="71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2812851"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1</w:t>
            </w:r>
          </w:p>
        </w:tc>
        <w:tc>
          <w:tcPr>
            <w:tcW w:w="3977" w:type="dxa"/>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6FF49599"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2</w:t>
            </w:r>
          </w:p>
        </w:tc>
        <w:tc>
          <w:tcPr>
            <w:tcW w:w="1087" w:type="dxa"/>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151BF72F"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3</w:t>
            </w:r>
          </w:p>
        </w:tc>
        <w:tc>
          <w:tcPr>
            <w:tcW w:w="1087" w:type="dxa"/>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6CE68F6D"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4</w:t>
            </w:r>
          </w:p>
        </w:tc>
        <w:tc>
          <w:tcPr>
            <w:tcW w:w="105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64194221"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5 (3-4)</w:t>
            </w:r>
          </w:p>
        </w:tc>
        <w:tc>
          <w:tcPr>
            <w:tcW w:w="106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380ADDCE" w14:textId="77777777" w:rsidR="004549CA" w:rsidRPr="00512BE3" w:rsidRDefault="004549CA" w:rsidP="004549CA">
            <w:pPr>
              <w:jc w:val="cente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6(5/4)</w:t>
            </w:r>
          </w:p>
        </w:tc>
      </w:tr>
      <w:tr w:rsidR="004549CA" w:rsidRPr="00512BE3" w14:paraId="2DE15E14" w14:textId="77777777" w:rsidTr="00A560C5">
        <w:trPr>
          <w:trHeight w:val="264"/>
        </w:trPr>
        <w:tc>
          <w:tcPr>
            <w:tcW w:w="717" w:type="dxa"/>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14:paraId="5F87C156"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1.0.</w:t>
            </w:r>
          </w:p>
        </w:tc>
        <w:tc>
          <w:tcPr>
            <w:tcW w:w="397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7610F99F" w14:textId="77777777" w:rsidR="004549CA" w:rsidRPr="00512BE3" w:rsidRDefault="004549CA" w:rsidP="00A560C5">
            <w:pPr>
              <w:ind w:firstLine="181"/>
              <w:rPr>
                <w:rFonts w:eastAsiaTheme="minorHAnsi"/>
                <w:b/>
                <w:bCs/>
                <w:sz w:val="18"/>
                <w:szCs w:val="18"/>
                <w:lang w:val="sr-Latn-RS" w:eastAsia="en-GB"/>
              </w:rPr>
            </w:pPr>
            <w:r w:rsidRPr="00512BE3">
              <w:rPr>
                <w:rFonts w:eastAsiaTheme="minorHAnsi"/>
                <w:b/>
                <w:bCs/>
                <w:sz w:val="18"/>
                <w:szCs w:val="18"/>
                <w:lang w:val="sr-Latn-RS" w:eastAsia="en-GB"/>
              </w:rPr>
              <w:t>Ukupan broj izvršenih kontrola</w:t>
            </w:r>
          </w:p>
        </w:tc>
        <w:tc>
          <w:tcPr>
            <w:tcW w:w="108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044552D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6.969</w:t>
            </w:r>
          </w:p>
        </w:tc>
        <w:tc>
          <w:tcPr>
            <w:tcW w:w="108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72886C67"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7.268</w:t>
            </w:r>
          </w:p>
        </w:tc>
        <w:tc>
          <w:tcPr>
            <w:tcW w:w="105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76B3AB3E"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-299</w:t>
            </w:r>
          </w:p>
        </w:tc>
        <w:tc>
          <w:tcPr>
            <w:tcW w:w="106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65BD653A"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-4,11%</w:t>
            </w:r>
          </w:p>
        </w:tc>
      </w:tr>
      <w:tr w:rsidR="004549CA" w:rsidRPr="00512BE3" w14:paraId="18530375" w14:textId="77777777" w:rsidTr="00A560C5">
        <w:trPr>
          <w:trHeight w:val="264"/>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2F058"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1.1.</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B39F5"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Broj potpunih kontrola</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B4B9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4.925</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0972F"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5.272</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4B50D"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-347</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786F"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-6,58%</w:t>
            </w:r>
          </w:p>
        </w:tc>
      </w:tr>
      <w:tr w:rsidR="004549CA" w:rsidRPr="00512BE3" w14:paraId="685228FF" w14:textId="77777777" w:rsidTr="00A560C5">
        <w:trPr>
          <w:trHeight w:val="285"/>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85DC5"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1.2.</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2263C"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Broj djelimične sa razrezom/ ograničene</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19333"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520</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690FB4"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597</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C2FC1"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-77</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0BDE7"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-12,90%</w:t>
            </w:r>
          </w:p>
        </w:tc>
      </w:tr>
      <w:tr w:rsidR="004549CA" w:rsidRPr="00512BE3" w14:paraId="7B1DA943" w14:textId="77777777" w:rsidTr="00A560C5">
        <w:trPr>
          <w:trHeight w:val="328"/>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BB5EC"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1.3.</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EFF2A"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Broj djelimične bez razreza/ informativne</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FE5B2"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1.204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BA5D2"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1.178</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5400E"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26</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73FF6"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2,21%</w:t>
            </w:r>
          </w:p>
        </w:tc>
      </w:tr>
      <w:tr w:rsidR="004549CA" w:rsidRPr="00512BE3" w14:paraId="65293734" w14:textId="77777777" w:rsidTr="00A560C5">
        <w:trPr>
          <w:trHeight w:val="328"/>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37AEF"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1.4.</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FE597"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Broj kontrola neobveznika</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77F44"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320</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A0A08"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220</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F7C78"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100</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6DDD6"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45,45%</w:t>
            </w:r>
          </w:p>
        </w:tc>
      </w:tr>
      <w:tr w:rsidR="004549CA" w:rsidRPr="00512BE3" w14:paraId="48301CF0" w14:textId="77777777" w:rsidTr="00A560C5">
        <w:trPr>
          <w:trHeight w:val="328"/>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7A545"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1.5.</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C5109"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Broj ograničenih provjera                  </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DA19B"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401</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DA143"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567</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034A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-166</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18033"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-29,28%</w:t>
            </w:r>
          </w:p>
        </w:tc>
      </w:tr>
      <w:tr w:rsidR="004549CA" w:rsidRPr="00512BE3" w14:paraId="79FB7D1C" w14:textId="77777777" w:rsidTr="00A560C5">
        <w:trPr>
          <w:trHeight w:val="328"/>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2F90D"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1.6.</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96E12"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 xml:space="preserve">Broj ostalih provjera                            </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F0763E"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787</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4E9DD"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565</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C85C0"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222</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3CEA5"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39,29%</w:t>
            </w:r>
          </w:p>
        </w:tc>
      </w:tr>
      <w:tr w:rsidR="004549CA" w:rsidRPr="00512BE3" w14:paraId="34C245ED" w14:textId="77777777" w:rsidTr="00A560C5">
        <w:trPr>
          <w:trHeight w:val="149"/>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FB8E0A"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2.0.</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4DAA5"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Bruto efekti   (po PDV i akciznoj prijavi)</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4AA94"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44.987.468</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0EA46"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47.716.600</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858A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-2.729.132</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E7EC7"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-5,72%</w:t>
            </w:r>
          </w:p>
        </w:tc>
      </w:tr>
      <w:tr w:rsidR="004549CA" w:rsidRPr="00512BE3" w14:paraId="3A941FF8" w14:textId="77777777" w:rsidTr="00A560C5">
        <w:trPr>
          <w:trHeight w:val="342"/>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16054"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 xml:space="preserve">2.1. </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93813" w14:textId="52F9A02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Efekti po ručnom zaduženju      (putarina + jednokratne uplate)</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92EA2"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4.754.578</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ECEE6"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676.050</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4236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4.078.528</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FC637"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603,29%</w:t>
            </w:r>
          </w:p>
        </w:tc>
      </w:tr>
      <w:tr w:rsidR="004549CA" w:rsidRPr="00512BE3" w14:paraId="353F33CC" w14:textId="77777777" w:rsidTr="00A560C5">
        <w:trPr>
          <w:trHeight w:val="250"/>
        </w:trPr>
        <w:tc>
          <w:tcPr>
            <w:tcW w:w="717" w:type="dxa"/>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14:paraId="5F9B4DD3"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2.2.</w:t>
            </w:r>
          </w:p>
        </w:tc>
        <w:tc>
          <w:tcPr>
            <w:tcW w:w="397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64058499" w14:textId="42011A35" w:rsidR="004549CA" w:rsidRPr="00512BE3" w:rsidRDefault="004549CA" w:rsidP="00A560C5">
            <w:pPr>
              <w:ind w:firstLine="181"/>
              <w:rPr>
                <w:rFonts w:eastAsiaTheme="minorHAnsi"/>
                <w:b/>
                <w:bCs/>
                <w:sz w:val="18"/>
                <w:szCs w:val="18"/>
                <w:lang w:val="sr-Latn-RS" w:eastAsia="en-GB"/>
              </w:rPr>
            </w:pPr>
            <w:r w:rsidRPr="00512BE3">
              <w:rPr>
                <w:rFonts w:eastAsiaTheme="minorHAnsi"/>
                <w:b/>
                <w:bCs/>
                <w:sz w:val="18"/>
                <w:szCs w:val="18"/>
                <w:lang w:val="sr-Latn-RS" w:eastAsia="en-GB"/>
              </w:rPr>
              <w:t>Ukupni bruto efekti                      (2.+2.1.)</w:t>
            </w:r>
          </w:p>
        </w:tc>
        <w:tc>
          <w:tcPr>
            <w:tcW w:w="108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42BCBF78" w14:textId="77777777" w:rsidR="004549CA" w:rsidRPr="00512BE3" w:rsidRDefault="004549CA" w:rsidP="00A560C5">
            <w:pPr>
              <w:jc w:val="right"/>
              <w:rPr>
                <w:rFonts w:eastAsiaTheme="minorHAnsi"/>
                <w:b/>
                <w:sz w:val="18"/>
                <w:szCs w:val="18"/>
                <w:lang w:val="sr-Latn-RS" w:eastAsia="en-GB"/>
              </w:rPr>
            </w:pPr>
            <w:r w:rsidRPr="00512BE3">
              <w:rPr>
                <w:rFonts w:eastAsiaTheme="minorHAnsi"/>
                <w:b/>
                <w:sz w:val="18"/>
                <w:szCs w:val="18"/>
                <w:lang w:val="sr-Latn-RS" w:eastAsia="en-GB"/>
              </w:rPr>
              <w:t>49.742.047</w:t>
            </w:r>
          </w:p>
        </w:tc>
        <w:tc>
          <w:tcPr>
            <w:tcW w:w="108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5E0A28EC" w14:textId="77777777" w:rsidR="004549CA" w:rsidRPr="00512BE3" w:rsidRDefault="004549CA" w:rsidP="00A560C5">
            <w:pPr>
              <w:jc w:val="right"/>
              <w:rPr>
                <w:rFonts w:eastAsiaTheme="minorHAnsi"/>
                <w:b/>
                <w:sz w:val="18"/>
                <w:szCs w:val="18"/>
                <w:lang w:val="sr-Latn-RS" w:eastAsia="en-GB"/>
              </w:rPr>
            </w:pPr>
            <w:r w:rsidRPr="00512BE3">
              <w:rPr>
                <w:rFonts w:eastAsiaTheme="minorHAnsi"/>
                <w:b/>
                <w:sz w:val="18"/>
                <w:szCs w:val="18"/>
                <w:lang w:val="sr-Latn-RS" w:eastAsia="en-GB"/>
              </w:rPr>
              <w:t>48.392.650</w:t>
            </w:r>
          </w:p>
        </w:tc>
        <w:tc>
          <w:tcPr>
            <w:tcW w:w="105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46D0C6C4" w14:textId="77777777" w:rsidR="004549CA" w:rsidRPr="00512BE3" w:rsidRDefault="004549CA" w:rsidP="00A560C5">
            <w:pPr>
              <w:jc w:val="right"/>
              <w:rPr>
                <w:rFonts w:eastAsiaTheme="minorHAnsi"/>
                <w:b/>
                <w:sz w:val="18"/>
                <w:szCs w:val="18"/>
                <w:lang w:val="sr-Latn-RS" w:eastAsia="en-GB"/>
              </w:rPr>
            </w:pPr>
            <w:r w:rsidRPr="00512BE3">
              <w:rPr>
                <w:rFonts w:eastAsiaTheme="minorHAnsi"/>
                <w:b/>
                <w:sz w:val="18"/>
                <w:szCs w:val="18"/>
                <w:lang w:val="sr-Latn-RS" w:eastAsia="en-GB"/>
              </w:rPr>
              <w:t>1.349.397</w:t>
            </w:r>
          </w:p>
        </w:tc>
        <w:tc>
          <w:tcPr>
            <w:tcW w:w="106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52662FA8"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2,79%</w:t>
            </w:r>
          </w:p>
        </w:tc>
      </w:tr>
      <w:tr w:rsidR="004549CA" w:rsidRPr="00512BE3" w14:paraId="5161757F" w14:textId="77777777" w:rsidTr="00A560C5">
        <w:trPr>
          <w:trHeight w:val="149"/>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2E4F0"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2.3.</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59E21" w14:textId="77777777" w:rsidR="004549CA" w:rsidRPr="00512BE3" w:rsidRDefault="004549CA" w:rsidP="00512736">
            <w:pPr>
              <w:rPr>
                <w:rFonts w:eastAsiaTheme="minorHAnsi"/>
                <w:b/>
                <w:bCs/>
                <w:sz w:val="18"/>
                <w:szCs w:val="18"/>
                <w:lang w:val="sr-Latn-RS" w:eastAsia="en-GB"/>
              </w:rPr>
            </w:pPr>
            <w:r w:rsidRPr="00512BE3">
              <w:rPr>
                <w:rFonts w:eastAsiaTheme="minorHAnsi"/>
                <w:b/>
                <w:bCs/>
                <w:sz w:val="18"/>
                <w:szCs w:val="18"/>
                <w:lang w:val="sr-Latn-RS" w:eastAsia="en-GB"/>
              </w:rPr>
              <w:t xml:space="preserve">Umanjenja po žalbi u prvostepenom postupku </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05B1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-3.710.429</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43C95"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-5.620.376</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4D9D4"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1.909.948</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5483E"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-33,98%</w:t>
            </w:r>
          </w:p>
        </w:tc>
      </w:tr>
      <w:tr w:rsidR="004549CA" w:rsidRPr="00512BE3" w14:paraId="1999FAF9" w14:textId="77777777" w:rsidTr="00A560C5">
        <w:trPr>
          <w:trHeight w:val="149"/>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57676"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2.4.</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E40DE"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 xml:space="preserve">Umanjenja po žalbi u drugostepenom postupku </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0B60B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-6.119.547</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AEF33"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-3.831.181</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76EBC"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-2.288.366</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0221F"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59,73%</w:t>
            </w:r>
          </w:p>
        </w:tc>
      </w:tr>
      <w:tr w:rsidR="004549CA" w:rsidRPr="00512BE3" w14:paraId="2FADCC14" w14:textId="77777777" w:rsidTr="00A560C5">
        <w:trPr>
          <w:trHeight w:val="307"/>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DD1A9"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2.5.</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12ADE"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Umanjenja po odluci Suda</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F664C3"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-521.126</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8445B6"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0</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32BCB"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-521.126</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3B899"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 </w:t>
            </w:r>
          </w:p>
        </w:tc>
      </w:tr>
      <w:tr w:rsidR="004549CA" w:rsidRPr="00512BE3" w14:paraId="14F3EB98" w14:textId="77777777" w:rsidTr="00A560C5">
        <w:trPr>
          <w:trHeight w:val="257"/>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AF6E7"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2.6.</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EDB61" w14:textId="4AC484E3" w:rsidR="004549CA" w:rsidRPr="00512BE3" w:rsidRDefault="004549CA" w:rsidP="00A560C5">
            <w:pPr>
              <w:rPr>
                <w:rFonts w:eastAsiaTheme="minorHAnsi"/>
                <w:b/>
                <w:bCs/>
                <w:color w:val="000000"/>
                <w:sz w:val="18"/>
                <w:szCs w:val="18"/>
                <w:lang w:val="sr-Latn-RS" w:eastAsia="en-GB"/>
              </w:rPr>
            </w:pPr>
            <w:r w:rsidRPr="00512BE3">
              <w:rPr>
                <w:rFonts w:eastAsiaTheme="minorHAnsi"/>
                <w:b/>
                <w:bCs/>
                <w:color w:val="000000"/>
                <w:sz w:val="18"/>
                <w:szCs w:val="18"/>
                <w:lang w:val="sr-Latn-RS" w:eastAsia="en-GB"/>
              </w:rPr>
              <w:t xml:space="preserve"> Ostala umanjenja </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12DB72"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-514.835</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9A1FF"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0</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87798"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-514.835</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0F8C2"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 </w:t>
            </w:r>
          </w:p>
        </w:tc>
      </w:tr>
      <w:tr w:rsidR="004549CA" w:rsidRPr="00512BE3" w14:paraId="21C24994" w14:textId="77777777" w:rsidTr="00A560C5">
        <w:trPr>
          <w:trHeight w:val="299"/>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D3C6"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2.7.</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63D8E" w14:textId="77777777"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Korekcije efekata u obnovi postupka i ostali vanredni pravni lijekovi</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43657"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-57.515</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5ABEE"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-147.957</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19AE9"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90.442</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0A122"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-61,13%</w:t>
            </w:r>
          </w:p>
        </w:tc>
      </w:tr>
      <w:tr w:rsidR="004549CA" w:rsidRPr="00512BE3" w14:paraId="5FF66B07" w14:textId="77777777" w:rsidTr="00A560C5">
        <w:trPr>
          <w:trHeight w:val="228"/>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D7D65"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2.8.</w:t>
            </w:r>
          </w:p>
        </w:tc>
        <w:tc>
          <w:tcPr>
            <w:tcW w:w="3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0623D" w14:textId="205E786F" w:rsidR="004549CA" w:rsidRPr="00512BE3" w:rsidRDefault="004549CA" w:rsidP="00A560C5">
            <w:pPr>
              <w:rPr>
                <w:rFonts w:eastAsiaTheme="minorHAnsi"/>
                <w:b/>
                <w:bCs/>
                <w:sz w:val="18"/>
                <w:szCs w:val="18"/>
                <w:lang w:val="sr-Latn-RS" w:eastAsia="en-GB"/>
              </w:rPr>
            </w:pPr>
            <w:r w:rsidRPr="00512BE3">
              <w:rPr>
                <w:rFonts w:eastAsiaTheme="minorHAnsi"/>
                <w:b/>
                <w:bCs/>
                <w:sz w:val="18"/>
                <w:szCs w:val="18"/>
                <w:lang w:val="sr-Latn-RS" w:eastAsia="en-GB"/>
              </w:rPr>
              <w:t>Neto efekti           (2.0.+2.3.+2.4+2.5.+2.6+2.7)</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569C4"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34.064.016</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077978"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38.117.086</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BAE55" w14:textId="77777777" w:rsidR="004549CA" w:rsidRPr="00512BE3" w:rsidRDefault="004549CA" w:rsidP="00A560C5">
            <w:pPr>
              <w:jc w:val="right"/>
              <w:rPr>
                <w:rFonts w:eastAsiaTheme="minorHAnsi"/>
                <w:sz w:val="18"/>
                <w:szCs w:val="18"/>
                <w:lang w:val="sr-Latn-RS" w:eastAsia="en-GB"/>
              </w:rPr>
            </w:pPr>
            <w:r w:rsidRPr="00512BE3">
              <w:rPr>
                <w:rFonts w:eastAsiaTheme="minorHAnsi"/>
                <w:sz w:val="18"/>
                <w:szCs w:val="18"/>
                <w:lang w:val="sr-Latn-RS" w:eastAsia="en-GB"/>
              </w:rPr>
              <w:t>-4.053.070</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BE67E" w14:textId="77777777" w:rsidR="004549CA" w:rsidRPr="00512BE3" w:rsidRDefault="004549CA" w:rsidP="004549CA">
            <w:pPr>
              <w:jc w:val="center"/>
              <w:rPr>
                <w:rFonts w:eastAsiaTheme="minorHAnsi"/>
                <w:sz w:val="18"/>
                <w:szCs w:val="18"/>
                <w:lang w:val="sr-Latn-RS" w:eastAsia="en-GB"/>
              </w:rPr>
            </w:pPr>
            <w:r w:rsidRPr="00512BE3">
              <w:rPr>
                <w:rFonts w:eastAsiaTheme="minorHAnsi"/>
                <w:sz w:val="18"/>
                <w:szCs w:val="18"/>
                <w:lang w:val="sr-Latn-RS" w:eastAsia="en-GB"/>
              </w:rPr>
              <w:t>-10,63%</w:t>
            </w:r>
          </w:p>
        </w:tc>
      </w:tr>
      <w:tr w:rsidR="004549CA" w:rsidRPr="00512BE3" w14:paraId="72AAEDFC" w14:textId="77777777" w:rsidTr="00A560C5">
        <w:trPr>
          <w:trHeight w:val="257"/>
        </w:trPr>
        <w:tc>
          <w:tcPr>
            <w:tcW w:w="717" w:type="dxa"/>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14:paraId="0B74E408"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 xml:space="preserve">2.9. </w:t>
            </w:r>
          </w:p>
        </w:tc>
        <w:tc>
          <w:tcPr>
            <w:tcW w:w="397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1E5CBD62" w14:textId="4BF15987" w:rsidR="004549CA" w:rsidRPr="00512BE3" w:rsidRDefault="004549CA" w:rsidP="004549CA">
            <w:pPr>
              <w:rPr>
                <w:rFonts w:eastAsiaTheme="minorHAnsi"/>
                <w:b/>
                <w:bCs/>
                <w:sz w:val="18"/>
                <w:szCs w:val="18"/>
                <w:lang w:val="sr-Latn-RS" w:eastAsia="en-GB"/>
              </w:rPr>
            </w:pPr>
            <w:r w:rsidRPr="00512BE3">
              <w:rPr>
                <w:rFonts w:eastAsiaTheme="minorHAnsi"/>
                <w:b/>
                <w:bCs/>
                <w:sz w:val="18"/>
                <w:szCs w:val="18"/>
                <w:lang w:val="sr-Latn-RS" w:eastAsia="en-GB"/>
              </w:rPr>
              <w:t>Ukupni neto efekti                         (2.8.+2.1.)</w:t>
            </w:r>
          </w:p>
        </w:tc>
        <w:tc>
          <w:tcPr>
            <w:tcW w:w="108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66DA0E19" w14:textId="77777777" w:rsidR="004549CA" w:rsidRPr="00512BE3" w:rsidRDefault="004549CA" w:rsidP="004549CA">
            <w:pPr>
              <w:jc w:val="center"/>
              <w:rPr>
                <w:rFonts w:eastAsiaTheme="minorHAnsi"/>
                <w:b/>
                <w:sz w:val="18"/>
                <w:szCs w:val="18"/>
                <w:lang w:val="sr-Latn-RS" w:eastAsia="en-GB"/>
              </w:rPr>
            </w:pPr>
            <w:r w:rsidRPr="00512BE3">
              <w:rPr>
                <w:rFonts w:eastAsiaTheme="minorHAnsi"/>
                <w:b/>
                <w:sz w:val="18"/>
                <w:szCs w:val="18"/>
                <w:lang w:val="sr-Latn-RS" w:eastAsia="en-GB"/>
              </w:rPr>
              <w:t>38.818.595</w:t>
            </w:r>
          </w:p>
        </w:tc>
        <w:tc>
          <w:tcPr>
            <w:tcW w:w="108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565BC972" w14:textId="77777777" w:rsidR="004549CA" w:rsidRPr="00512BE3" w:rsidRDefault="004549CA" w:rsidP="004549CA">
            <w:pPr>
              <w:jc w:val="center"/>
              <w:rPr>
                <w:rFonts w:eastAsiaTheme="minorHAnsi"/>
                <w:b/>
                <w:sz w:val="18"/>
                <w:szCs w:val="18"/>
                <w:lang w:val="sr-Latn-RS" w:eastAsia="en-GB"/>
              </w:rPr>
            </w:pPr>
            <w:r w:rsidRPr="00512BE3">
              <w:rPr>
                <w:rFonts w:eastAsiaTheme="minorHAnsi"/>
                <w:b/>
                <w:sz w:val="18"/>
                <w:szCs w:val="18"/>
                <w:lang w:val="sr-Latn-RS" w:eastAsia="en-GB"/>
              </w:rPr>
              <w:t>39.383.136</w:t>
            </w:r>
          </w:p>
        </w:tc>
        <w:tc>
          <w:tcPr>
            <w:tcW w:w="105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1A4BF7A1" w14:textId="77777777" w:rsidR="004549CA" w:rsidRPr="00512BE3" w:rsidRDefault="004549CA" w:rsidP="004549CA">
            <w:pPr>
              <w:jc w:val="center"/>
              <w:rPr>
                <w:rFonts w:eastAsiaTheme="minorHAnsi"/>
                <w:b/>
                <w:sz w:val="18"/>
                <w:szCs w:val="18"/>
                <w:lang w:val="sr-Latn-RS" w:eastAsia="en-GB"/>
              </w:rPr>
            </w:pPr>
            <w:r w:rsidRPr="00512BE3">
              <w:rPr>
                <w:rFonts w:eastAsiaTheme="minorHAnsi"/>
                <w:b/>
                <w:sz w:val="18"/>
                <w:szCs w:val="18"/>
                <w:lang w:val="sr-Latn-RS" w:eastAsia="en-GB"/>
              </w:rPr>
              <w:t>-564.541</w:t>
            </w:r>
          </w:p>
        </w:tc>
        <w:tc>
          <w:tcPr>
            <w:tcW w:w="106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6F678D76" w14:textId="77777777" w:rsidR="004549CA" w:rsidRPr="00512BE3" w:rsidRDefault="004549CA" w:rsidP="004549CA">
            <w:pPr>
              <w:jc w:val="center"/>
              <w:rPr>
                <w:rFonts w:eastAsiaTheme="minorHAnsi"/>
                <w:b/>
                <w:bCs/>
                <w:sz w:val="18"/>
                <w:szCs w:val="18"/>
                <w:lang w:val="sr-Latn-RS" w:eastAsia="en-GB"/>
              </w:rPr>
            </w:pPr>
            <w:r w:rsidRPr="00512BE3">
              <w:rPr>
                <w:rFonts w:eastAsiaTheme="minorHAnsi"/>
                <w:b/>
                <w:bCs/>
                <w:sz w:val="18"/>
                <w:szCs w:val="18"/>
                <w:lang w:val="sr-Latn-RS" w:eastAsia="en-GB"/>
              </w:rPr>
              <w:t>-1,43%</w:t>
            </w:r>
          </w:p>
        </w:tc>
      </w:tr>
    </w:tbl>
    <w:p w14:paraId="0E40A519" w14:textId="3E59ED22" w:rsidR="00A514BE" w:rsidRDefault="00A514BE" w:rsidP="00924733">
      <w:pPr>
        <w:pStyle w:val="Heading3"/>
        <w:numPr>
          <w:ilvl w:val="0"/>
          <w:numId w:val="0"/>
        </w:numPr>
        <w:rPr>
          <w:lang w:val="sr-Latn-BA"/>
        </w:rPr>
      </w:pPr>
    </w:p>
    <w:p w14:paraId="1AEB1948" w14:textId="3DF21C3E" w:rsidR="00A83463" w:rsidRDefault="00A83463" w:rsidP="00A83463">
      <w:pPr>
        <w:rPr>
          <w:lang w:val="sr-Latn-BA"/>
        </w:rPr>
      </w:pPr>
    </w:p>
    <w:p w14:paraId="0C325E01" w14:textId="77777777" w:rsidR="00A83463" w:rsidRPr="00A83463" w:rsidRDefault="00A83463" w:rsidP="00A83463">
      <w:pPr>
        <w:rPr>
          <w:lang w:val="sr-Latn-BA"/>
        </w:rPr>
      </w:pPr>
    </w:p>
    <w:p w14:paraId="610A6D26" w14:textId="6AD9D0D9" w:rsidR="00A70AF2" w:rsidRDefault="003D5318" w:rsidP="00A70AF2">
      <w:pPr>
        <w:pStyle w:val="Heading3"/>
        <w:rPr>
          <w:lang w:val="sr-Latn-BA"/>
        </w:rPr>
      </w:pPr>
      <w:bookmarkStart w:id="27" w:name="_Toc95294155"/>
      <w:r w:rsidRPr="00512BE3">
        <w:rPr>
          <w:lang w:val="sr-Latn-BA"/>
        </w:rPr>
        <w:t>Kontrola velikih poreskih obveznika</w:t>
      </w:r>
      <w:bookmarkEnd w:id="23"/>
      <w:bookmarkEnd w:id="24"/>
      <w:bookmarkEnd w:id="25"/>
      <w:bookmarkEnd w:id="26"/>
      <w:bookmarkEnd w:id="27"/>
    </w:p>
    <w:p w14:paraId="412DF377" w14:textId="71E40F65" w:rsidR="00A83463" w:rsidRDefault="00A83463" w:rsidP="00A83463">
      <w:pPr>
        <w:rPr>
          <w:lang w:val="sr-Latn-BA"/>
        </w:rPr>
      </w:pPr>
    </w:p>
    <w:p w14:paraId="552F8482" w14:textId="77777777" w:rsidR="00A83463" w:rsidRPr="00A83463" w:rsidRDefault="00A83463" w:rsidP="00A83463">
      <w:pPr>
        <w:rPr>
          <w:lang w:val="sr-Latn-BA"/>
        </w:rPr>
      </w:pPr>
    </w:p>
    <w:p w14:paraId="68633D27" w14:textId="6A8B183F" w:rsidR="002D2518" w:rsidRDefault="00215B41" w:rsidP="00215B41">
      <w:pPr>
        <w:jc w:val="both"/>
        <w:rPr>
          <w:i/>
          <w:sz w:val="22"/>
          <w:szCs w:val="22"/>
          <w:lang w:val="sr-Latn-BA"/>
        </w:rPr>
      </w:pPr>
      <w:r>
        <w:rPr>
          <w:rFonts w:eastAsia="Calibri"/>
          <w:sz w:val="22"/>
          <w:szCs w:val="22"/>
          <w:lang w:val="sr-Latn-BA" w:eastAsia="en-US"/>
        </w:rPr>
        <w:t xml:space="preserve">U oblasti kontrole </w:t>
      </w:r>
      <w:r w:rsidR="00A560C5" w:rsidRPr="00512BE3">
        <w:rPr>
          <w:rFonts w:eastAsia="Calibri"/>
          <w:sz w:val="22"/>
          <w:szCs w:val="22"/>
          <w:lang w:val="sr-Latn-BA" w:eastAsia="en-US"/>
        </w:rPr>
        <w:t xml:space="preserve">velikih poreskih obveznika u periodu 01.01-31.12.2022. godine realizovao je 12,33 % više kontrola od planiranog broja, budući da je planirano 1.370 kontrola, a izvršeno 1.539 kontrola. Kada su u pitanju potpune kontrole planirano je 605 potpunih kontrola, a izvršeno je 606 potpunih kontrola, što znači da je postotak realizacije potpunih kontrola veći za 0,16 % od planiranog broja. U izvještajnom periodu izvršeno je 18,29 % više kontrola u odnosu na isti period 2021. godine. </w:t>
      </w:r>
      <w:r w:rsidR="00FB5915" w:rsidRPr="00512BE3">
        <w:rPr>
          <w:rFonts w:eastAsia="Calibri"/>
          <w:sz w:val="22"/>
          <w:szCs w:val="22"/>
          <w:lang w:val="sr-Latn-BA" w:eastAsia="en-US"/>
        </w:rPr>
        <w:t>(</w:t>
      </w:r>
      <w:r w:rsidR="0059088D" w:rsidRPr="00512BE3">
        <w:rPr>
          <w:i/>
          <w:sz w:val="22"/>
          <w:szCs w:val="22"/>
          <w:lang w:val="sr-Latn-BA"/>
        </w:rPr>
        <w:t>Tabela 1</w:t>
      </w:r>
      <w:r w:rsidR="007D061D" w:rsidRPr="00512BE3">
        <w:rPr>
          <w:i/>
          <w:sz w:val="22"/>
          <w:szCs w:val="22"/>
          <w:lang w:val="sr-Latn-BA"/>
        </w:rPr>
        <w:t>1</w:t>
      </w:r>
      <w:r w:rsidR="003D5318" w:rsidRPr="00512BE3">
        <w:rPr>
          <w:i/>
          <w:sz w:val="22"/>
          <w:szCs w:val="22"/>
          <w:lang w:val="sr-Latn-BA"/>
        </w:rPr>
        <w:t>.)</w:t>
      </w:r>
    </w:p>
    <w:p w14:paraId="752E0B44" w14:textId="5F1BC6BB" w:rsidR="00A83463" w:rsidRDefault="00A83463" w:rsidP="00215B41">
      <w:pPr>
        <w:jc w:val="both"/>
        <w:rPr>
          <w:i/>
          <w:sz w:val="22"/>
          <w:szCs w:val="22"/>
          <w:lang w:val="sr-Latn-BA"/>
        </w:rPr>
      </w:pPr>
    </w:p>
    <w:p w14:paraId="47A3CB60" w14:textId="77777777" w:rsidR="00A83463" w:rsidRDefault="00A83463" w:rsidP="00215B41">
      <w:pPr>
        <w:jc w:val="both"/>
        <w:rPr>
          <w:i/>
          <w:sz w:val="22"/>
          <w:szCs w:val="22"/>
          <w:lang w:val="sr-Latn-BA"/>
        </w:rPr>
      </w:pPr>
    </w:p>
    <w:p w14:paraId="3182E177" w14:textId="547934B6" w:rsidR="00A83463" w:rsidRDefault="00A83463" w:rsidP="00215B41">
      <w:pPr>
        <w:jc w:val="both"/>
        <w:rPr>
          <w:i/>
          <w:sz w:val="22"/>
          <w:szCs w:val="22"/>
          <w:lang w:val="sr-Latn-BA"/>
        </w:rPr>
      </w:pPr>
    </w:p>
    <w:p w14:paraId="48E818A3" w14:textId="77777777" w:rsidR="00A83463" w:rsidRPr="00512BE3" w:rsidRDefault="00A83463" w:rsidP="00215B41">
      <w:pPr>
        <w:jc w:val="both"/>
        <w:rPr>
          <w:i/>
          <w:sz w:val="22"/>
          <w:szCs w:val="22"/>
          <w:lang w:val="sr-Latn-BA"/>
        </w:rPr>
      </w:pPr>
    </w:p>
    <w:p w14:paraId="422DFF59" w14:textId="1DBC9B6C" w:rsidR="003D5318" w:rsidRPr="00512BE3" w:rsidRDefault="0059088D" w:rsidP="00843A87">
      <w:pPr>
        <w:jc w:val="both"/>
        <w:rPr>
          <w:b/>
          <w:i/>
          <w:sz w:val="22"/>
          <w:szCs w:val="22"/>
          <w:lang w:val="sr-Latn-BA"/>
        </w:rPr>
      </w:pPr>
      <w:r w:rsidRPr="00512BE3">
        <w:rPr>
          <w:b/>
          <w:i/>
          <w:sz w:val="22"/>
          <w:szCs w:val="22"/>
          <w:lang w:val="sr-Latn-BA"/>
        </w:rPr>
        <w:lastRenderedPageBreak/>
        <w:t>Tabela 1</w:t>
      </w:r>
      <w:r w:rsidR="007D061D" w:rsidRPr="00512BE3">
        <w:rPr>
          <w:b/>
          <w:i/>
          <w:sz w:val="22"/>
          <w:szCs w:val="22"/>
          <w:lang w:val="sr-Latn-BA"/>
        </w:rPr>
        <w:t>1</w:t>
      </w:r>
      <w:r w:rsidR="00CC4695" w:rsidRPr="00512BE3">
        <w:rPr>
          <w:b/>
          <w:i/>
          <w:sz w:val="22"/>
          <w:szCs w:val="22"/>
          <w:lang w:val="sr-Latn-BA"/>
        </w:rPr>
        <w:t>:</w:t>
      </w:r>
      <w:r w:rsidR="003D5318" w:rsidRPr="00512BE3">
        <w:rPr>
          <w:b/>
          <w:i/>
          <w:sz w:val="22"/>
          <w:szCs w:val="22"/>
          <w:lang w:val="sr-Latn-BA"/>
        </w:rPr>
        <w:t xml:space="preserve"> Izvještaj o planiranim i realizovanim aktivnostima Odsje</w:t>
      </w:r>
      <w:r w:rsidR="0023193C" w:rsidRPr="00512BE3">
        <w:rPr>
          <w:b/>
          <w:i/>
          <w:sz w:val="22"/>
          <w:szCs w:val="22"/>
          <w:lang w:val="sr-Latn-BA"/>
        </w:rPr>
        <w:t xml:space="preserve">ka za kontrolu velikih </w:t>
      </w:r>
      <w:r w:rsidR="00CC4695" w:rsidRPr="00512BE3">
        <w:rPr>
          <w:b/>
          <w:i/>
          <w:sz w:val="22"/>
          <w:szCs w:val="22"/>
          <w:lang w:val="sr-Latn-BA"/>
        </w:rPr>
        <w:t xml:space="preserve">poreskih </w:t>
      </w:r>
      <w:r w:rsidR="003D5318" w:rsidRPr="00512BE3">
        <w:rPr>
          <w:b/>
          <w:i/>
          <w:sz w:val="22"/>
          <w:szCs w:val="22"/>
          <w:lang w:val="sr-Latn-BA"/>
        </w:rPr>
        <w:t>obveznika</w:t>
      </w:r>
    </w:p>
    <w:tbl>
      <w:tblPr>
        <w:tblW w:w="9028" w:type="dxa"/>
        <w:tblInd w:w="-23" w:type="dxa"/>
        <w:tblLook w:val="04A0" w:firstRow="1" w:lastRow="0" w:firstColumn="1" w:lastColumn="0" w:noHBand="0" w:noVBand="1"/>
      </w:tblPr>
      <w:tblGrid>
        <w:gridCol w:w="1880"/>
        <w:gridCol w:w="1219"/>
        <w:gridCol w:w="1482"/>
        <w:gridCol w:w="1482"/>
        <w:gridCol w:w="1482"/>
        <w:gridCol w:w="1483"/>
      </w:tblGrid>
      <w:tr w:rsidR="00A560C5" w:rsidRPr="00512BE3" w14:paraId="3C65D255" w14:textId="77777777" w:rsidTr="00A560C5">
        <w:trPr>
          <w:trHeight w:val="1103"/>
        </w:trPr>
        <w:tc>
          <w:tcPr>
            <w:tcW w:w="1880" w:type="dxa"/>
            <w:vMerge w:val="restart"/>
            <w:tcBorders>
              <w:top w:val="double" w:sz="6" w:space="0" w:color="auto"/>
              <w:left w:val="double" w:sz="6" w:space="0" w:color="auto"/>
              <w:bottom w:val="single" w:sz="8" w:space="0" w:color="000000"/>
              <w:right w:val="single" w:sz="8" w:space="0" w:color="auto"/>
            </w:tcBorders>
            <w:shd w:val="clear" w:color="000000" w:fill="EBF1DE"/>
            <w:vAlign w:val="center"/>
            <w:hideMark/>
          </w:tcPr>
          <w:p w14:paraId="59558739" w14:textId="77777777" w:rsidR="00A560C5" w:rsidRPr="00512BE3" w:rsidRDefault="00A560C5" w:rsidP="00A560C5">
            <w:pPr>
              <w:jc w:val="center"/>
              <w:rPr>
                <w:b/>
                <w:bCs/>
                <w:color w:val="000000" w:themeColor="text1"/>
                <w:sz w:val="22"/>
                <w:szCs w:val="22"/>
                <w:lang w:val="sr-Latn-BA"/>
              </w:rPr>
            </w:pPr>
            <w:r w:rsidRPr="00512BE3">
              <w:rPr>
                <w:b/>
                <w:bCs/>
                <w:color w:val="000000" w:themeColor="text1"/>
                <w:sz w:val="22"/>
                <w:szCs w:val="22"/>
                <w:lang w:val="sr-Latn-BA"/>
              </w:rPr>
              <w:t xml:space="preserve">Grupe za kontrolu velikih poreskih obveznika </w:t>
            </w:r>
          </w:p>
        </w:tc>
        <w:tc>
          <w:tcPr>
            <w:tcW w:w="1219" w:type="dxa"/>
            <w:tcBorders>
              <w:top w:val="double" w:sz="6" w:space="0" w:color="auto"/>
              <w:left w:val="nil"/>
              <w:bottom w:val="single" w:sz="4" w:space="0" w:color="auto"/>
              <w:right w:val="single" w:sz="4" w:space="0" w:color="auto"/>
            </w:tcBorders>
            <w:shd w:val="clear" w:color="000000" w:fill="EBF1DE"/>
            <w:vAlign w:val="center"/>
            <w:hideMark/>
          </w:tcPr>
          <w:p w14:paraId="41316FC5"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Broj izvršenih kontrola u periodu I-XII 2021. god.</w:t>
            </w:r>
          </w:p>
        </w:tc>
        <w:tc>
          <w:tcPr>
            <w:tcW w:w="1482" w:type="dxa"/>
            <w:tcBorders>
              <w:top w:val="double" w:sz="6" w:space="0" w:color="auto"/>
              <w:left w:val="single" w:sz="4" w:space="0" w:color="auto"/>
              <w:bottom w:val="single" w:sz="4" w:space="0" w:color="auto"/>
              <w:right w:val="single" w:sz="4" w:space="0" w:color="auto"/>
            </w:tcBorders>
            <w:shd w:val="clear" w:color="000000" w:fill="EBF1DE"/>
            <w:vAlign w:val="center"/>
            <w:hideMark/>
          </w:tcPr>
          <w:p w14:paraId="2099BF25"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Broj planiranih kontrola u periodu I-XII 2022. god.</w:t>
            </w:r>
          </w:p>
        </w:tc>
        <w:tc>
          <w:tcPr>
            <w:tcW w:w="1482" w:type="dxa"/>
            <w:tcBorders>
              <w:top w:val="double" w:sz="6" w:space="0" w:color="auto"/>
              <w:left w:val="single" w:sz="4" w:space="0" w:color="auto"/>
              <w:bottom w:val="single" w:sz="4" w:space="0" w:color="auto"/>
              <w:right w:val="single" w:sz="8" w:space="0" w:color="auto"/>
            </w:tcBorders>
            <w:shd w:val="clear" w:color="000000" w:fill="EBF1DE"/>
            <w:vAlign w:val="center"/>
            <w:hideMark/>
          </w:tcPr>
          <w:p w14:paraId="4546BB78"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Broj izvršenih kontrola u periodu I-XII 2022. god.</w:t>
            </w:r>
          </w:p>
        </w:tc>
        <w:tc>
          <w:tcPr>
            <w:tcW w:w="1482" w:type="dxa"/>
            <w:tcBorders>
              <w:top w:val="double" w:sz="6" w:space="0" w:color="auto"/>
              <w:left w:val="nil"/>
              <w:bottom w:val="single" w:sz="4" w:space="0" w:color="auto"/>
              <w:right w:val="single" w:sz="8" w:space="0" w:color="auto"/>
            </w:tcBorders>
            <w:shd w:val="clear" w:color="000000" w:fill="EBF1DE"/>
            <w:vAlign w:val="center"/>
            <w:hideMark/>
          </w:tcPr>
          <w:p w14:paraId="4592B9F1"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Broj izvršenih kontrola u periodu I-XII 2022. god. u odnosu na period I - XII 2021. god. (%)</w:t>
            </w:r>
          </w:p>
        </w:tc>
        <w:tc>
          <w:tcPr>
            <w:tcW w:w="1483" w:type="dxa"/>
            <w:tcBorders>
              <w:top w:val="double" w:sz="6" w:space="0" w:color="auto"/>
              <w:left w:val="nil"/>
              <w:bottom w:val="single" w:sz="4" w:space="0" w:color="auto"/>
              <w:right w:val="double" w:sz="6" w:space="0" w:color="auto"/>
            </w:tcBorders>
            <w:shd w:val="clear" w:color="000000" w:fill="EBF1DE"/>
            <w:vAlign w:val="center"/>
            <w:hideMark/>
          </w:tcPr>
          <w:p w14:paraId="28F43A1A"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Realizacija planiranih kontrola za period I-XII 2022. god. (%)</w:t>
            </w:r>
          </w:p>
        </w:tc>
      </w:tr>
      <w:tr w:rsidR="00A560C5" w:rsidRPr="00512BE3" w14:paraId="2A3B5452" w14:textId="77777777" w:rsidTr="00A560C5">
        <w:trPr>
          <w:trHeight w:val="83"/>
        </w:trPr>
        <w:tc>
          <w:tcPr>
            <w:tcW w:w="1880" w:type="dxa"/>
            <w:vMerge/>
            <w:tcBorders>
              <w:top w:val="single" w:sz="8" w:space="0" w:color="auto"/>
              <w:left w:val="double" w:sz="6" w:space="0" w:color="auto"/>
              <w:bottom w:val="single" w:sz="8" w:space="0" w:color="000000"/>
              <w:right w:val="single" w:sz="8" w:space="0" w:color="auto"/>
            </w:tcBorders>
            <w:vAlign w:val="center"/>
            <w:hideMark/>
          </w:tcPr>
          <w:p w14:paraId="2942ED62" w14:textId="77777777" w:rsidR="00A560C5" w:rsidRPr="00512BE3" w:rsidRDefault="00A560C5" w:rsidP="00A560C5">
            <w:pPr>
              <w:rPr>
                <w:b/>
                <w:bCs/>
                <w:color w:val="000000" w:themeColor="text1"/>
                <w:sz w:val="22"/>
                <w:szCs w:val="22"/>
                <w:lang w:val="sr-Latn-BA"/>
              </w:rPr>
            </w:pPr>
          </w:p>
        </w:tc>
        <w:tc>
          <w:tcPr>
            <w:tcW w:w="1219" w:type="dxa"/>
            <w:tcBorders>
              <w:top w:val="single" w:sz="4" w:space="0" w:color="auto"/>
              <w:left w:val="nil"/>
              <w:bottom w:val="single" w:sz="8" w:space="0" w:color="auto"/>
              <w:right w:val="single" w:sz="4" w:space="0" w:color="auto"/>
            </w:tcBorders>
            <w:shd w:val="clear" w:color="000000" w:fill="EBF1DE"/>
            <w:noWrap/>
            <w:vAlign w:val="center"/>
            <w:hideMark/>
          </w:tcPr>
          <w:p w14:paraId="07998EAA" w14:textId="77777777" w:rsidR="00A560C5" w:rsidRPr="00512BE3" w:rsidRDefault="00A560C5" w:rsidP="00A560C5">
            <w:pPr>
              <w:jc w:val="center"/>
              <w:rPr>
                <w:color w:val="000000" w:themeColor="text1"/>
                <w:sz w:val="22"/>
                <w:szCs w:val="22"/>
                <w:lang w:val="sr-Latn-BA" w:eastAsia="en-US"/>
              </w:rPr>
            </w:pPr>
            <w:r w:rsidRPr="00512BE3">
              <w:rPr>
                <w:color w:val="000000" w:themeColor="text1"/>
                <w:sz w:val="22"/>
                <w:szCs w:val="22"/>
                <w:lang w:val="sr-Latn-BA" w:eastAsia="en-US"/>
              </w:rPr>
              <w:t>1</w:t>
            </w:r>
          </w:p>
        </w:tc>
        <w:tc>
          <w:tcPr>
            <w:tcW w:w="1482"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2902BCDE" w14:textId="77777777" w:rsidR="00A560C5" w:rsidRPr="00512BE3" w:rsidRDefault="00A560C5" w:rsidP="00A560C5">
            <w:pPr>
              <w:jc w:val="center"/>
              <w:rPr>
                <w:color w:val="000000" w:themeColor="text1"/>
                <w:sz w:val="22"/>
                <w:szCs w:val="22"/>
                <w:lang w:val="sr-Latn-BA" w:eastAsia="en-US"/>
              </w:rPr>
            </w:pPr>
            <w:r w:rsidRPr="00512BE3">
              <w:rPr>
                <w:color w:val="000000" w:themeColor="text1"/>
                <w:sz w:val="22"/>
                <w:szCs w:val="22"/>
                <w:lang w:val="sr-Latn-BA" w:eastAsia="en-US"/>
              </w:rPr>
              <w:t>2</w:t>
            </w:r>
          </w:p>
        </w:tc>
        <w:tc>
          <w:tcPr>
            <w:tcW w:w="1482" w:type="dxa"/>
            <w:tcBorders>
              <w:top w:val="single" w:sz="4" w:space="0" w:color="auto"/>
              <w:left w:val="single" w:sz="4" w:space="0" w:color="auto"/>
              <w:bottom w:val="single" w:sz="8" w:space="0" w:color="auto"/>
              <w:right w:val="single" w:sz="8" w:space="0" w:color="auto"/>
            </w:tcBorders>
            <w:shd w:val="clear" w:color="000000" w:fill="EBF1DE"/>
            <w:noWrap/>
            <w:vAlign w:val="center"/>
            <w:hideMark/>
          </w:tcPr>
          <w:p w14:paraId="69145176" w14:textId="77777777" w:rsidR="00A560C5" w:rsidRPr="00512BE3" w:rsidRDefault="00A560C5" w:rsidP="00A560C5">
            <w:pPr>
              <w:jc w:val="center"/>
              <w:rPr>
                <w:color w:val="000000" w:themeColor="text1"/>
                <w:sz w:val="22"/>
                <w:szCs w:val="22"/>
                <w:lang w:val="sr-Latn-BA" w:eastAsia="en-US"/>
              </w:rPr>
            </w:pPr>
            <w:r w:rsidRPr="00512BE3">
              <w:rPr>
                <w:color w:val="000000" w:themeColor="text1"/>
                <w:sz w:val="22"/>
                <w:szCs w:val="22"/>
                <w:lang w:val="sr-Latn-BA" w:eastAsia="en-US"/>
              </w:rPr>
              <w:t>3</w:t>
            </w:r>
          </w:p>
        </w:tc>
        <w:tc>
          <w:tcPr>
            <w:tcW w:w="1482" w:type="dxa"/>
            <w:tcBorders>
              <w:top w:val="single" w:sz="4" w:space="0" w:color="auto"/>
              <w:left w:val="nil"/>
              <w:bottom w:val="single" w:sz="8" w:space="0" w:color="auto"/>
              <w:right w:val="single" w:sz="8" w:space="0" w:color="auto"/>
            </w:tcBorders>
            <w:shd w:val="clear" w:color="000000" w:fill="EBF1DE"/>
            <w:noWrap/>
            <w:vAlign w:val="center"/>
            <w:hideMark/>
          </w:tcPr>
          <w:p w14:paraId="4B85FA47" w14:textId="77777777" w:rsidR="00A560C5" w:rsidRPr="00512BE3" w:rsidRDefault="00A560C5" w:rsidP="00A560C5">
            <w:pPr>
              <w:jc w:val="center"/>
              <w:rPr>
                <w:color w:val="000000" w:themeColor="text1"/>
                <w:sz w:val="22"/>
                <w:szCs w:val="22"/>
                <w:lang w:val="sr-Latn-BA" w:eastAsia="en-US"/>
              </w:rPr>
            </w:pPr>
            <w:r w:rsidRPr="00512BE3">
              <w:rPr>
                <w:color w:val="000000" w:themeColor="text1"/>
                <w:sz w:val="22"/>
                <w:szCs w:val="22"/>
                <w:lang w:val="sr-Latn-BA" w:eastAsia="en-US"/>
              </w:rPr>
              <w:t>4=3/1</w:t>
            </w:r>
          </w:p>
        </w:tc>
        <w:tc>
          <w:tcPr>
            <w:tcW w:w="1483" w:type="dxa"/>
            <w:tcBorders>
              <w:top w:val="single" w:sz="4" w:space="0" w:color="auto"/>
              <w:left w:val="nil"/>
              <w:bottom w:val="single" w:sz="8" w:space="0" w:color="auto"/>
              <w:right w:val="double" w:sz="6" w:space="0" w:color="auto"/>
            </w:tcBorders>
            <w:shd w:val="clear" w:color="000000" w:fill="EBF1DE"/>
            <w:noWrap/>
            <w:vAlign w:val="center"/>
            <w:hideMark/>
          </w:tcPr>
          <w:p w14:paraId="6DDF4A89" w14:textId="77777777" w:rsidR="00A560C5" w:rsidRPr="00512BE3" w:rsidRDefault="00A560C5" w:rsidP="00A560C5">
            <w:pPr>
              <w:jc w:val="center"/>
              <w:rPr>
                <w:color w:val="000000" w:themeColor="text1"/>
                <w:sz w:val="22"/>
                <w:szCs w:val="22"/>
                <w:lang w:val="sr-Latn-BA" w:eastAsia="en-US"/>
              </w:rPr>
            </w:pPr>
            <w:r w:rsidRPr="00512BE3">
              <w:rPr>
                <w:color w:val="000000" w:themeColor="text1"/>
                <w:sz w:val="22"/>
                <w:szCs w:val="22"/>
                <w:lang w:val="sr-Latn-BA" w:eastAsia="en-US"/>
              </w:rPr>
              <w:t>5=3/2</w:t>
            </w:r>
          </w:p>
        </w:tc>
      </w:tr>
      <w:tr w:rsidR="00A560C5" w:rsidRPr="00512BE3" w14:paraId="3D7AFF5D" w14:textId="77777777" w:rsidTr="00A560C5">
        <w:trPr>
          <w:trHeight w:val="224"/>
        </w:trPr>
        <w:tc>
          <w:tcPr>
            <w:tcW w:w="1880" w:type="dxa"/>
            <w:tcBorders>
              <w:top w:val="nil"/>
              <w:left w:val="double" w:sz="6" w:space="0" w:color="auto"/>
              <w:bottom w:val="single" w:sz="4" w:space="0" w:color="auto"/>
              <w:right w:val="single" w:sz="4" w:space="0" w:color="auto"/>
            </w:tcBorders>
            <w:shd w:val="clear" w:color="000000" w:fill="FFFFFF"/>
            <w:noWrap/>
            <w:vAlign w:val="center"/>
          </w:tcPr>
          <w:p w14:paraId="411E8CA7"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Banjaluka</w:t>
            </w:r>
          </w:p>
        </w:tc>
        <w:tc>
          <w:tcPr>
            <w:tcW w:w="1219" w:type="dxa"/>
            <w:tcBorders>
              <w:top w:val="single" w:sz="4" w:space="0" w:color="auto"/>
              <w:left w:val="nil"/>
              <w:bottom w:val="single" w:sz="4" w:space="0" w:color="auto"/>
              <w:right w:val="single" w:sz="4" w:space="0" w:color="auto"/>
            </w:tcBorders>
            <w:shd w:val="clear" w:color="000000" w:fill="FFFFFF"/>
            <w:noWrap/>
            <w:vAlign w:val="center"/>
          </w:tcPr>
          <w:p w14:paraId="4C06CBB8"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404</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14:paraId="3BC21EA5"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360</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14:paraId="211E80C0"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464</w:t>
            </w:r>
          </w:p>
        </w:tc>
        <w:tc>
          <w:tcPr>
            <w:tcW w:w="1482" w:type="dxa"/>
            <w:tcBorders>
              <w:top w:val="nil"/>
              <w:left w:val="nil"/>
              <w:bottom w:val="single" w:sz="4" w:space="0" w:color="auto"/>
              <w:right w:val="single" w:sz="4" w:space="0" w:color="auto"/>
            </w:tcBorders>
            <w:shd w:val="clear" w:color="000000" w:fill="FFFFFF"/>
            <w:noWrap/>
            <w:vAlign w:val="center"/>
          </w:tcPr>
          <w:p w14:paraId="2A3E134D"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114,85%</w:t>
            </w:r>
          </w:p>
        </w:tc>
        <w:tc>
          <w:tcPr>
            <w:tcW w:w="1483" w:type="dxa"/>
            <w:tcBorders>
              <w:top w:val="nil"/>
              <w:left w:val="nil"/>
              <w:bottom w:val="single" w:sz="4" w:space="0" w:color="auto"/>
              <w:right w:val="double" w:sz="6" w:space="0" w:color="auto"/>
            </w:tcBorders>
            <w:shd w:val="clear" w:color="000000" w:fill="FFFFFF"/>
            <w:noWrap/>
            <w:vAlign w:val="center"/>
          </w:tcPr>
          <w:p w14:paraId="2A774ABD"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128,88%</w:t>
            </w:r>
          </w:p>
        </w:tc>
      </w:tr>
      <w:tr w:rsidR="00A560C5" w:rsidRPr="00512BE3" w14:paraId="64236B70" w14:textId="77777777" w:rsidTr="00A560C5">
        <w:trPr>
          <w:trHeight w:val="224"/>
        </w:trPr>
        <w:tc>
          <w:tcPr>
            <w:tcW w:w="1880" w:type="dxa"/>
            <w:tcBorders>
              <w:top w:val="nil"/>
              <w:left w:val="double" w:sz="6" w:space="0" w:color="auto"/>
              <w:bottom w:val="single" w:sz="4" w:space="0" w:color="auto"/>
              <w:right w:val="single" w:sz="4" w:space="0" w:color="auto"/>
            </w:tcBorders>
            <w:shd w:val="clear" w:color="000000" w:fill="FFFFFF"/>
            <w:noWrap/>
            <w:vAlign w:val="center"/>
          </w:tcPr>
          <w:p w14:paraId="32A3704C" w14:textId="77777777" w:rsidR="00A560C5" w:rsidRPr="00512BE3" w:rsidRDefault="00A560C5" w:rsidP="00A560C5">
            <w:pPr>
              <w:rPr>
                <w:b/>
                <w:color w:val="000000" w:themeColor="text1"/>
                <w:sz w:val="22"/>
                <w:szCs w:val="22"/>
                <w:lang w:val="sr-Latn-BA"/>
              </w:rPr>
            </w:pPr>
            <w:r w:rsidRPr="00512BE3">
              <w:rPr>
                <w:b/>
                <w:color w:val="000000" w:themeColor="text1"/>
                <w:sz w:val="22"/>
                <w:szCs w:val="22"/>
                <w:lang w:val="sr-Latn-BA"/>
              </w:rPr>
              <w:t xml:space="preserve">      Mostar</w:t>
            </w:r>
          </w:p>
        </w:tc>
        <w:tc>
          <w:tcPr>
            <w:tcW w:w="1219" w:type="dxa"/>
            <w:tcBorders>
              <w:top w:val="nil"/>
              <w:left w:val="nil"/>
              <w:bottom w:val="single" w:sz="4" w:space="0" w:color="auto"/>
              <w:right w:val="single" w:sz="4" w:space="0" w:color="auto"/>
            </w:tcBorders>
            <w:shd w:val="clear" w:color="000000" w:fill="FFFFFF"/>
            <w:noWrap/>
            <w:vAlign w:val="center"/>
          </w:tcPr>
          <w:p w14:paraId="4317E176"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180</w:t>
            </w:r>
          </w:p>
        </w:tc>
        <w:tc>
          <w:tcPr>
            <w:tcW w:w="1482" w:type="dxa"/>
            <w:tcBorders>
              <w:top w:val="nil"/>
              <w:left w:val="nil"/>
              <w:bottom w:val="single" w:sz="4" w:space="0" w:color="auto"/>
              <w:right w:val="single" w:sz="4" w:space="0" w:color="auto"/>
            </w:tcBorders>
            <w:shd w:val="clear" w:color="000000" w:fill="FFFFFF"/>
            <w:noWrap/>
            <w:vAlign w:val="center"/>
          </w:tcPr>
          <w:p w14:paraId="06313B25"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215</w:t>
            </w:r>
          </w:p>
        </w:tc>
        <w:tc>
          <w:tcPr>
            <w:tcW w:w="1482" w:type="dxa"/>
            <w:tcBorders>
              <w:top w:val="nil"/>
              <w:left w:val="nil"/>
              <w:bottom w:val="single" w:sz="4" w:space="0" w:color="auto"/>
              <w:right w:val="single" w:sz="4" w:space="0" w:color="auto"/>
            </w:tcBorders>
            <w:shd w:val="clear" w:color="000000" w:fill="FFFFFF"/>
            <w:noWrap/>
            <w:vAlign w:val="center"/>
          </w:tcPr>
          <w:p w14:paraId="29B6B4AA"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217</w:t>
            </w:r>
          </w:p>
        </w:tc>
        <w:tc>
          <w:tcPr>
            <w:tcW w:w="1482" w:type="dxa"/>
            <w:tcBorders>
              <w:top w:val="nil"/>
              <w:left w:val="nil"/>
              <w:bottom w:val="single" w:sz="4" w:space="0" w:color="auto"/>
              <w:right w:val="single" w:sz="4" w:space="0" w:color="auto"/>
            </w:tcBorders>
            <w:shd w:val="clear" w:color="000000" w:fill="FFFFFF"/>
            <w:noWrap/>
            <w:vAlign w:val="center"/>
          </w:tcPr>
          <w:p w14:paraId="613D9667"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120,55%</w:t>
            </w:r>
          </w:p>
        </w:tc>
        <w:tc>
          <w:tcPr>
            <w:tcW w:w="1483" w:type="dxa"/>
            <w:tcBorders>
              <w:top w:val="nil"/>
              <w:left w:val="nil"/>
              <w:bottom w:val="single" w:sz="4" w:space="0" w:color="auto"/>
              <w:right w:val="double" w:sz="6" w:space="0" w:color="auto"/>
            </w:tcBorders>
            <w:shd w:val="clear" w:color="000000" w:fill="FFFFFF"/>
            <w:noWrap/>
            <w:vAlign w:val="center"/>
          </w:tcPr>
          <w:p w14:paraId="12BFD38C"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100,93%</w:t>
            </w:r>
          </w:p>
        </w:tc>
      </w:tr>
      <w:tr w:rsidR="00A560C5" w:rsidRPr="00512BE3" w14:paraId="6B884BFA" w14:textId="77777777" w:rsidTr="00A560C5">
        <w:trPr>
          <w:trHeight w:val="224"/>
        </w:trPr>
        <w:tc>
          <w:tcPr>
            <w:tcW w:w="1880" w:type="dxa"/>
            <w:tcBorders>
              <w:top w:val="nil"/>
              <w:left w:val="double" w:sz="6" w:space="0" w:color="auto"/>
              <w:bottom w:val="single" w:sz="4" w:space="0" w:color="auto"/>
              <w:right w:val="single" w:sz="4" w:space="0" w:color="auto"/>
            </w:tcBorders>
            <w:shd w:val="clear" w:color="000000" w:fill="FFFFFF"/>
            <w:noWrap/>
            <w:vAlign w:val="center"/>
          </w:tcPr>
          <w:p w14:paraId="3DDD8FC3" w14:textId="77777777" w:rsidR="00A560C5" w:rsidRPr="00512BE3" w:rsidRDefault="00A560C5" w:rsidP="00A560C5">
            <w:pPr>
              <w:rPr>
                <w:b/>
                <w:color w:val="000000" w:themeColor="text1"/>
                <w:sz w:val="22"/>
                <w:szCs w:val="22"/>
                <w:lang w:val="sr-Latn-BA"/>
              </w:rPr>
            </w:pPr>
            <w:r w:rsidRPr="00512BE3">
              <w:rPr>
                <w:b/>
                <w:color w:val="000000" w:themeColor="text1"/>
                <w:sz w:val="22"/>
                <w:szCs w:val="22"/>
                <w:lang w:val="sr-Latn-BA"/>
              </w:rPr>
              <w:t xml:space="preserve">     Sarajevo</w:t>
            </w:r>
          </w:p>
        </w:tc>
        <w:tc>
          <w:tcPr>
            <w:tcW w:w="1219" w:type="dxa"/>
            <w:tcBorders>
              <w:top w:val="nil"/>
              <w:left w:val="nil"/>
              <w:bottom w:val="single" w:sz="4" w:space="0" w:color="auto"/>
              <w:right w:val="single" w:sz="4" w:space="0" w:color="auto"/>
            </w:tcBorders>
            <w:shd w:val="clear" w:color="000000" w:fill="FFFFFF"/>
            <w:noWrap/>
            <w:vAlign w:val="center"/>
          </w:tcPr>
          <w:p w14:paraId="77E11124"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376</w:t>
            </w:r>
          </w:p>
        </w:tc>
        <w:tc>
          <w:tcPr>
            <w:tcW w:w="1482" w:type="dxa"/>
            <w:tcBorders>
              <w:top w:val="nil"/>
              <w:left w:val="nil"/>
              <w:bottom w:val="single" w:sz="4" w:space="0" w:color="auto"/>
              <w:right w:val="single" w:sz="4" w:space="0" w:color="auto"/>
            </w:tcBorders>
            <w:shd w:val="clear" w:color="000000" w:fill="FFFFFF"/>
            <w:noWrap/>
            <w:vAlign w:val="center"/>
          </w:tcPr>
          <w:p w14:paraId="105B8219"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470</w:t>
            </w:r>
          </w:p>
        </w:tc>
        <w:tc>
          <w:tcPr>
            <w:tcW w:w="1482" w:type="dxa"/>
            <w:tcBorders>
              <w:top w:val="nil"/>
              <w:left w:val="nil"/>
              <w:bottom w:val="single" w:sz="4" w:space="0" w:color="auto"/>
              <w:right w:val="single" w:sz="4" w:space="0" w:color="auto"/>
            </w:tcBorders>
            <w:shd w:val="clear" w:color="000000" w:fill="FFFFFF"/>
            <w:noWrap/>
            <w:vAlign w:val="center"/>
          </w:tcPr>
          <w:p w14:paraId="219AC1D7"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470</w:t>
            </w:r>
          </w:p>
        </w:tc>
        <w:tc>
          <w:tcPr>
            <w:tcW w:w="1482" w:type="dxa"/>
            <w:tcBorders>
              <w:top w:val="nil"/>
              <w:left w:val="nil"/>
              <w:bottom w:val="single" w:sz="4" w:space="0" w:color="auto"/>
              <w:right w:val="single" w:sz="4" w:space="0" w:color="auto"/>
            </w:tcBorders>
            <w:shd w:val="clear" w:color="000000" w:fill="FFFFFF"/>
            <w:noWrap/>
            <w:vAlign w:val="center"/>
          </w:tcPr>
          <w:p w14:paraId="490B16E4"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125,00%</w:t>
            </w:r>
          </w:p>
        </w:tc>
        <w:tc>
          <w:tcPr>
            <w:tcW w:w="1483" w:type="dxa"/>
            <w:tcBorders>
              <w:top w:val="nil"/>
              <w:left w:val="nil"/>
              <w:bottom w:val="single" w:sz="4" w:space="0" w:color="auto"/>
              <w:right w:val="double" w:sz="6" w:space="0" w:color="auto"/>
            </w:tcBorders>
            <w:shd w:val="clear" w:color="000000" w:fill="FFFFFF"/>
            <w:noWrap/>
            <w:vAlign w:val="center"/>
          </w:tcPr>
          <w:p w14:paraId="497A1519"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100,00%</w:t>
            </w:r>
          </w:p>
        </w:tc>
      </w:tr>
      <w:tr w:rsidR="00A560C5" w:rsidRPr="00512BE3" w14:paraId="70BD6F9E" w14:textId="77777777" w:rsidTr="00A560C5">
        <w:trPr>
          <w:trHeight w:val="236"/>
        </w:trPr>
        <w:tc>
          <w:tcPr>
            <w:tcW w:w="1880" w:type="dxa"/>
            <w:tcBorders>
              <w:top w:val="nil"/>
              <w:left w:val="double" w:sz="6" w:space="0" w:color="auto"/>
              <w:bottom w:val="nil"/>
              <w:right w:val="single" w:sz="4" w:space="0" w:color="auto"/>
            </w:tcBorders>
            <w:shd w:val="clear" w:color="000000" w:fill="FFFFFF"/>
            <w:noWrap/>
            <w:vAlign w:val="center"/>
          </w:tcPr>
          <w:p w14:paraId="66D7A53D" w14:textId="77777777" w:rsidR="00A560C5" w:rsidRPr="00512BE3" w:rsidRDefault="00A560C5" w:rsidP="00A560C5">
            <w:pPr>
              <w:rPr>
                <w:b/>
                <w:color w:val="000000" w:themeColor="text1"/>
                <w:sz w:val="22"/>
                <w:szCs w:val="22"/>
                <w:lang w:val="sr-Latn-BA"/>
              </w:rPr>
            </w:pPr>
            <w:r w:rsidRPr="00512BE3">
              <w:rPr>
                <w:b/>
                <w:color w:val="000000" w:themeColor="text1"/>
                <w:sz w:val="22"/>
                <w:szCs w:val="22"/>
                <w:lang w:val="sr-Latn-BA"/>
              </w:rPr>
              <w:t xml:space="preserve">       Tuzla</w:t>
            </w:r>
          </w:p>
        </w:tc>
        <w:tc>
          <w:tcPr>
            <w:tcW w:w="1219" w:type="dxa"/>
            <w:tcBorders>
              <w:top w:val="nil"/>
              <w:left w:val="nil"/>
              <w:bottom w:val="nil"/>
              <w:right w:val="single" w:sz="4" w:space="0" w:color="auto"/>
            </w:tcBorders>
            <w:shd w:val="clear" w:color="000000" w:fill="FFFFFF"/>
            <w:noWrap/>
            <w:vAlign w:val="center"/>
          </w:tcPr>
          <w:p w14:paraId="79EAF2E4"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341</w:t>
            </w:r>
          </w:p>
        </w:tc>
        <w:tc>
          <w:tcPr>
            <w:tcW w:w="1482" w:type="dxa"/>
            <w:tcBorders>
              <w:top w:val="nil"/>
              <w:left w:val="nil"/>
              <w:bottom w:val="nil"/>
              <w:right w:val="single" w:sz="4" w:space="0" w:color="auto"/>
            </w:tcBorders>
            <w:shd w:val="clear" w:color="000000" w:fill="FFFFFF"/>
            <w:noWrap/>
            <w:vAlign w:val="center"/>
          </w:tcPr>
          <w:p w14:paraId="45751DF2"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325</w:t>
            </w:r>
          </w:p>
        </w:tc>
        <w:tc>
          <w:tcPr>
            <w:tcW w:w="1482" w:type="dxa"/>
            <w:tcBorders>
              <w:top w:val="nil"/>
              <w:left w:val="nil"/>
              <w:bottom w:val="nil"/>
              <w:right w:val="single" w:sz="4" w:space="0" w:color="auto"/>
            </w:tcBorders>
            <w:shd w:val="clear" w:color="000000" w:fill="FFFFFF"/>
            <w:noWrap/>
            <w:vAlign w:val="center"/>
          </w:tcPr>
          <w:p w14:paraId="390AB657"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388</w:t>
            </w:r>
          </w:p>
        </w:tc>
        <w:tc>
          <w:tcPr>
            <w:tcW w:w="1482" w:type="dxa"/>
            <w:tcBorders>
              <w:top w:val="nil"/>
              <w:left w:val="nil"/>
              <w:bottom w:val="single" w:sz="8" w:space="0" w:color="auto"/>
              <w:right w:val="single" w:sz="4" w:space="0" w:color="auto"/>
            </w:tcBorders>
            <w:shd w:val="clear" w:color="000000" w:fill="FFFFFF"/>
            <w:noWrap/>
            <w:vAlign w:val="center"/>
          </w:tcPr>
          <w:p w14:paraId="6B01F0E2"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113,78%</w:t>
            </w:r>
          </w:p>
        </w:tc>
        <w:tc>
          <w:tcPr>
            <w:tcW w:w="1483" w:type="dxa"/>
            <w:tcBorders>
              <w:top w:val="nil"/>
              <w:left w:val="nil"/>
              <w:bottom w:val="single" w:sz="8" w:space="0" w:color="auto"/>
              <w:right w:val="double" w:sz="6" w:space="0" w:color="auto"/>
            </w:tcBorders>
            <w:shd w:val="clear" w:color="000000" w:fill="FFFFFF"/>
            <w:noWrap/>
            <w:vAlign w:val="center"/>
          </w:tcPr>
          <w:p w14:paraId="448300AB" w14:textId="77777777" w:rsidR="00A560C5" w:rsidRPr="00512BE3" w:rsidRDefault="00A560C5" w:rsidP="00A560C5">
            <w:pPr>
              <w:jc w:val="center"/>
              <w:rPr>
                <w:color w:val="000000" w:themeColor="text1"/>
                <w:sz w:val="22"/>
                <w:szCs w:val="22"/>
                <w:lang w:val="sr-Latn-BA"/>
              </w:rPr>
            </w:pPr>
            <w:r w:rsidRPr="00512BE3">
              <w:rPr>
                <w:color w:val="000000" w:themeColor="text1"/>
                <w:sz w:val="22"/>
                <w:szCs w:val="22"/>
                <w:lang w:val="sr-Latn-BA"/>
              </w:rPr>
              <w:t>119,38%</w:t>
            </w:r>
          </w:p>
        </w:tc>
      </w:tr>
      <w:tr w:rsidR="00A560C5" w:rsidRPr="00512BE3" w14:paraId="7CAAE132" w14:textId="77777777" w:rsidTr="00A560C5">
        <w:trPr>
          <w:trHeight w:val="16"/>
        </w:trPr>
        <w:tc>
          <w:tcPr>
            <w:tcW w:w="1880" w:type="dxa"/>
            <w:tcBorders>
              <w:top w:val="single" w:sz="8" w:space="0" w:color="auto"/>
              <w:left w:val="double" w:sz="6" w:space="0" w:color="auto"/>
              <w:bottom w:val="single" w:sz="8" w:space="0" w:color="auto"/>
              <w:right w:val="single" w:sz="4" w:space="0" w:color="auto"/>
            </w:tcBorders>
            <w:shd w:val="clear" w:color="000000" w:fill="EBF1DE"/>
            <w:noWrap/>
            <w:vAlign w:val="center"/>
            <w:hideMark/>
          </w:tcPr>
          <w:p w14:paraId="2E6FF5E3" w14:textId="77777777" w:rsidR="00A560C5" w:rsidRPr="00512BE3" w:rsidRDefault="00A560C5" w:rsidP="00A560C5">
            <w:pPr>
              <w:rPr>
                <w:b/>
                <w:bCs/>
                <w:color w:val="000000" w:themeColor="text1"/>
                <w:sz w:val="22"/>
                <w:szCs w:val="22"/>
                <w:lang w:val="sr-Latn-BA"/>
              </w:rPr>
            </w:pPr>
            <w:r w:rsidRPr="00512BE3">
              <w:rPr>
                <w:b/>
                <w:bCs/>
                <w:color w:val="000000" w:themeColor="text1"/>
                <w:sz w:val="22"/>
                <w:szCs w:val="22"/>
                <w:lang w:val="sr-Latn-BA"/>
              </w:rPr>
              <w:t>Ukupno sve kontrole</w:t>
            </w:r>
          </w:p>
        </w:tc>
        <w:tc>
          <w:tcPr>
            <w:tcW w:w="1219" w:type="dxa"/>
            <w:tcBorders>
              <w:top w:val="single" w:sz="8" w:space="0" w:color="auto"/>
              <w:left w:val="single" w:sz="4" w:space="0" w:color="auto"/>
              <w:bottom w:val="single" w:sz="8" w:space="0" w:color="auto"/>
              <w:right w:val="single" w:sz="4" w:space="0" w:color="auto"/>
            </w:tcBorders>
            <w:shd w:val="clear" w:color="000000" w:fill="EBF1DE"/>
            <w:noWrap/>
            <w:vAlign w:val="center"/>
            <w:hideMark/>
          </w:tcPr>
          <w:p w14:paraId="1838D81D" w14:textId="77777777" w:rsidR="00A560C5" w:rsidRPr="00512BE3" w:rsidRDefault="00A560C5" w:rsidP="00A560C5">
            <w:pPr>
              <w:jc w:val="center"/>
              <w:rPr>
                <w:b/>
                <w:bCs/>
                <w:color w:val="000000" w:themeColor="text1"/>
                <w:sz w:val="22"/>
                <w:szCs w:val="22"/>
                <w:lang w:val="sr-Latn-BA"/>
              </w:rPr>
            </w:pPr>
            <w:r w:rsidRPr="00512BE3">
              <w:rPr>
                <w:b/>
                <w:bCs/>
                <w:color w:val="000000" w:themeColor="text1"/>
                <w:sz w:val="22"/>
                <w:szCs w:val="22"/>
                <w:lang w:val="sr-Latn-BA"/>
              </w:rPr>
              <w:t>1.301</w:t>
            </w:r>
          </w:p>
        </w:tc>
        <w:tc>
          <w:tcPr>
            <w:tcW w:w="1482" w:type="dxa"/>
            <w:tcBorders>
              <w:top w:val="single" w:sz="8" w:space="0" w:color="auto"/>
              <w:left w:val="single" w:sz="4" w:space="0" w:color="auto"/>
              <w:bottom w:val="single" w:sz="8" w:space="0" w:color="auto"/>
              <w:right w:val="single" w:sz="4" w:space="0" w:color="auto"/>
            </w:tcBorders>
            <w:shd w:val="clear" w:color="000000" w:fill="EBF1DE"/>
            <w:noWrap/>
            <w:vAlign w:val="center"/>
          </w:tcPr>
          <w:p w14:paraId="57C7916C"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1.370</w:t>
            </w:r>
          </w:p>
        </w:tc>
        <w:tc>
          <w:tcPr>
            <w:tcW w:w="1482" w:type="dxa"/>
            <w:tcBorders>
              <w:top w:val="single" w:sz="8" w:space="0" w:color="auto"/>
              <w:left w:val="single" w:sz="4" w:space="0" w:color="auto"/>
              <w:bottom w:val="single" w:sz="8" w:space="0" w:color="auto"/>
              <w:right w:val="single" w:sz="8" w:space="0" w:color="auto"/>
            </w:tcBorders>
            <w:shd w:val="clear" w:color="000000" w:fill="EBF1DE"/>
            <w:noWrap/>
            <w:vAlign w:val="center"/>
          </w:tcPr>
          <w:p w14:paraId="1E22C19D" w14:textId="77777777" w:rsidR="00A560C5" w:rsidRPr="00512BE3" w:rsidRDefault="00A560C5" w:rsidP="00A560C5">
            <w:pPr>
              <w:jc w:val="center"/>
              <w:rPr>
                <w:b/>
                <w:bCs/>
                <w:color w:val="000000" w:themeColor="text1"/>
                <w:sz w:val="22"/>
                <w:szCs w:val="22"/>
                <w:lang w:val="sr-Latn-BA"/>
              </w:rPr>
            </w:pPr>
            <w:r w:rsidRPr="00512BE3">
              <w:rPr>
                <w:b/>
                <w:bCs/>
                <w:color w:val="000000" w:themeColor="text1"/>
                <w:sz w:val="22"/>
                <w:szCs w:val="22"/>
                <w:lang w:val="sr-Latn-BA"/>
              </w:rPr>
              <w:t>1.539</w:t>
            </w:r>
          </w:p>
        </w:tc>
        <w:tc>
          <w:tcPr>
            <w:tcW w:w="1482" w:type="dxa"/>
            <w:tcBorders>
              <w:top w:val="nil"/>
              <w:left w:val="nil"/>
              <w:bottom w:val="single" w:sz="4" w:space="0" w:color="auto"/>
              <w:right w:val="single" w:sz="8" w:space="0" w:color="auto"/>
            </w:tcBorders>
            <w:shd w:val="clear" w:color="000000" w:fill="EBF1DE"/>
            <w:noWrap/>
            <w:vAlign w:val="center"/>
            <w:hideMark/>
          </w:tcPr>
          <w:p w14:paraId="366A74A9"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118,29%</w:t>
            </w:r>
          </w:p>
        </w:tc>
        <w:tc>
          <w:tcPr>
            <w:tcW w:w="1483" w:type="dxa"/>
            <w:tcBorders>
              <w:top w:val="nil"/>
              <w:left w:val="nil"/>
              <w:bottom w:val="single" w:sz="4" w:space="0" w:color="auto"/>
              <w:right w:val="double" w:sz="6" w:space="0" w:color="auto"/>
            </w:tcBorders>
            <w:shd w:val="clear" w:color="000000" w:fill="EBF1DE"/>
            <w:noWrap/>
            <w:vAlign w:val="center"/>
            <w:hideMark/>
          </w:tcPr>
          <w:p w14:paraId="2D0A3BF5"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112,33%</w:t>
            </w:r>
          </w:p>
        </w:tc>
      </w:tr>
      <w:tr w:rsidR="00A560C5" w:rsidRPr="00512BE3" w14:paraId="3945CF8F" w14:textId="77777777" w:rsidTr="00A560C5">
        <w:trPr>
          <w:trHeight w:val="16"/>
        </w:trPr>
        <w:tc>
          <w:tcPr>
            <w:tcW w:w="1880" w:type="dxa"/>
            <w:tcBorders>
              <w:top w:val="single" w:sz="8" w:space="0" w:color="auto"/>
              <w:left w:val="double" w:sz="6" w:space="0" w:color="auto"/>
              <w:bottom w:val="double" w:sz="6" w:space="0" w:color="auto"/>
              <w:right w:val="single" w:sz="4" w:space="0" w:color="auto"/>
            </w:tcBorders>
            <w:shd w:val="clear" w:color="000000" w:fill="EBF1DE"/>
            <w:noWrap/>
            <w:vAlign w:val="center"/>
          </w:tcPr>
          <w:p w14:paraId="428E2809" w14:textId="77777777" w:rsidR="00A560C5" w:rsidRPr="00512BE3" w:rsidRDefault="00A560C5" w:rsidP="00A560C5">
            <w:pPr>
              <w:rPr>
                <w:b/>
                <w:bCs/>
                <w:color w:val="000000" w:themeColor="text1"/>
                <w:sz w:val="22"/>
                <w:szCs w:val="22"/>
                <w:lang w:val="sr-Latn-BA"/>
              </w:rPr>
            </w:pPr>
            <w:r w:rsidRPr="00512BE3">
              <w:rPr>
                <w:b/>
                <w:bCs/>
                <w:color w:val="000000" w:themeColor="text1"/>
                <w:sz w:val="22"/>
                <w:szCs w:val="22"/>
                <w:lang w:val="sr-Latn-BA"/>
              </w:rPr>
              <w:t>Ukupno potpune kontrole</w:t>
            </w:r>
          </w:p>
        </w:tc>
        <w:tc>
          <w:tcPr>
            <w:tcW w:w="1219" w:type="dxa"/>
            <w:tcBorders>
              <w:top w:val="single" w:sz="8" w:space="0" w:color="auto"/>
              <w:left w:val="single" w:sz="4" w:space="0" w:color="auto"/>
              <w:bottom w:val="double" w:sz="6" w:space="0" w:color="auto"/>
              <w:right w:val="single" w:sz="4" w:space="0" w:color="auto"/>
            </w:tcBorders>
            <w:shd w:val="clear" w:color="000000" w:fill="EBF1DE"/>
            <w:noWrap/>
            <w:vAlign w:val="center"/>
          </w:tcPr>
          <w:p w14:paraId="62A2B842" w14:textId="77777777" w:rsidR="00A560C5" w:rsidRPr="00512BE3" w:rsidRDefault="00A560C5" w:rsidP="00A560C5">
            <w:pPr>
              <w:jc w:val="center"/>
              <w:rPr>
                <w:b/>
                <w:bCs/>
                <w:color w:val="000000" w:themeColor="text1"/>
                <w:sz w:val="22"/>
                <w:szCs w:val="22"/>
                <w:lang w:val="sr-Latn-BA"/>
              </w:rPr>
            </w:pPr>
            <w:r w:rsidRPr="00512BE3">
              <w:rPr>
                <w:b/>
                <w:bCs/>
                <w:color w:val="000000" w:themeColor="text1"/>
                <w:sz w:val="22"/>
                <w:szCs w:val="22"/>
                <w:lang w:val="sr-Latn-BA"/>
              </w:rPr>
              <w:t>631</w:t>
            </w:r>
          </w:p>
        </w:tc>
        <w:tc>
          <w:tcPr>
            <w:tcW w:w="1482" w:type="dxa"/>
            <w:tcBorders>
              <w:top w:val="single" w:sz="8" w:space="0" w:color="auto"/>
              <w:left w:val="single" w:sz="4" w:space="0" w:color="auto"/>
              <w:bottom w:val="double" w:sz="6" w:space="0" w:color="auto"/>
              <w:right w:val="single" w:sz="4" w:space="0" w:color="auto"/>
            </w:tcBorders>
            <w:shd w:val="clear" w:color="000000" w:fill="EBF1DE"/>
            <w:noWrap/>
            <w:vAlign w:val="center"/>
          </w:tcPr>
          <w:p w14:paraId="1783B7C3" w14:textId="77777777" w:rsidR="00A560C5" w:rsidRPr="00512BE3" w:rsidRDefault="00A560C5" w:rsidP="00A560C5">
            <w:pPr>
              <w:jc w:val="center"/>
              <w:rPr>
                <w:b/>
                <w:bCs/>
                <w:color w:val="000000" w:themeColor="text1"/>
                <w:sz w:val="22"/>
                <w:szCs w:val="22"/>
                <w:lang w:val="sr-Latn-BA"/>
              </w:rPr>
            </w:pPr>
            <w:r w:rsidRPr="00512BE3">
              <w:rPr>
                <w:b/>
                <w:bCs/>
                <w:color w:val="000000" w:themeColor="text1"/>
                <w:sz w:val="22"/>
                <w:szCs w:val="22"/>
                <w:lang w:val="sr-Latn-BA"/>
              </w:rPr>
              <w:t>605</w:t>
            </w:r>
          </w:p>
        </w:tc>
        <w:tc>
          <w:tcPr>
            <w:tcW w:w="1482" w:type="dxa"/>
            <w:tcBorders>
              <w:top w:val="single" w:sz="8" w:space="0" w:color="auto"/>
              <w:left w:val="single" w:sz="4" w:space="0" w:color="auto"/>
              <w:bottom w:val="double" w:sz="6" w:space="0" w:color="auto"/>
              <w:right w:val="single" w:sz="8" w:space="0" w:color="auto"/>
            </w:tcBorders>
            <w:shd w:val="clear" w:color="000000" w:fill="EBF1DE"/>
            <w:noWrap/>
            <w:vAlign w:val="center"/>
          </w:tcPr>
          <w:p w14:paraId="332D6A04" w14:textId="77777777" w:rsidR="00A560C5" w:rsidRPr="00512BE3" w:rsidRDefault="00A560C5" w:rsidP="00A560C5">
            <w:pPr>
              <w:jc w:val="center"/>
              <w:rPr>
                <w:b/>
                <w:bCs/>
                <w:color w:val="000000" w:themeColor="text1"/>
                <w:sz w:val="22"/>
                <w:szCs w:val="22"/>
                <w:lang w:val="sr-Latn-BA"/>
              </w:rPr>
            </w:pPr>
            <w:r w:rsidRPr="00512BE3">
              <w:rPr>
                <w:b/>
                <w:bCs/>
                <w:color w:val="000000" w:themeColor="text1"/>
                <w:sz w:val="22"/>
                <w:szCs w:val="22"/>
                <w:lang w:val="sr-Latn-BA"/>
              </w:rPr>
              <w:t>606</w:t>
            </w:r>
          </w:p>
        </w:tc>
        <w:tc>
          <w:tcPr>
            <w:tcW w:w="1482" w:type="dxa"/>
            <w:tcBorders>
              <w:top w:val="single" w:sz="4" w:space="0" w:color="auto"/>
              <w:left w:val="nil"/>
              <w:bottom w:val="double" w:sz="6" w:space="0" w:color="auto"/>
              <w:right w:val="single" w:sz="8" w:space="0" w:color="auto"/>
            </w:tcBorders>
            <w:shd w:val="clear" w:color="000000" w:fill="EBF1DE"/>
            <w:noWrap/>
            <w:vAlign w:val="center"/>
          </w:tcPr>
          <w:p w14:paraId="7048DB70"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96,03%</w:t>
            </w:r>
          </w:p>
        </w:tc>
        <w:tc>
          <w:tcPr>
            <w:tcW w:w="1483" w:type="dxa"/>
            <w:tcBorders>
              <w:top w:val="single" w:sz="4" w:space="0" w:color="auto"/>
              <w:left w:val="nil"/>
              <w:bottom w:val="double" w:sz="6" w:space="0" w:color="auto"/>
              <w:right w:val="double" w:sz="6" w:space="0" w:color="auto"/>
            </w:tcBorders>
            <w:shd w:val="clear" w:color="000000" w:fill="EBF1DE"/>
            <w:noWrap/>
            <w:vAlign w:val="center"/>
          </w:tcPr>
          <w:p w14:paraId="36175C89" w14:textId="77777777" w:rsidR="00A560C5" w:rsidRPr="00512BE3" w:rsidRDefault="00A560C5" w:rsidP="00A560C5">
            <w:pPr>
              <w:jc w:val="center"/>
              <w:rPr>
                <w:b/>
                <w:color w:val="000000" w:themeColor="text1"/>
                <w:sz w:val="22"/>
                <w:szCs w:val="22"/>
                <w:lang w:val="sr-Latn-BA"/>
              </w:rPr>
            </w:pPr>
            <w:r w:rsidRPr="00512BE3">
              <w:rPr>
                <w:b/>
                <w:color w:val="000000" w:themeColor="text1"/>
                <w:sz w:val="22"/>
                <w:szCs w:val="22"/>
                <w:lang w:val="sr-Latn-BA"/>
              </w:rPr>
              <w:t>100,16%</w:t>
            </w:r>
          </w:p>
        </w:tc>
      </w:tr>
    </w:tbl>
    <w:p w14:paraId="67A34809" w14:textId="77777777" w:rsidR="00A560C5" w:rsidRPr="00512BE3" w:rsidRDefault="00A560C5" w:rsidP="00843A87">
      <w:pPr>
        <w:jc w:val="both"/>
        <w:rPr>
          <w:rFonts w:eastAsia="Calibri"/>
          <w:sz w:val="22"/>
          <w:szCs w:val="22"/>
          <w:lang w:val="sr-Latn-BA" w:eastAsia="en-US"/>
        </w:rPr>
      </w:pPr>
    </w:p>
    <w:p w14:paraId="5943E541" w14:textId="7B4F019F" w:rsidR="00215B41" w:rsidRPr="00512BE3" w:rsidRDefault="00A560C5" w:rsidP="00A83463">
      <w:pPr>
        <w:ind w:firstLine="709"/>
        <w:jc w:val="both"/>
        <w:rPr>
          <w:sz w:val="22"/>
          <w:szCs w:val="22"/>
          <w:lang w:val="sr-Latn-BA"/>
        </w:rPr>
      </w:pPr>
      <w:r w:rsidRPr="00512BE3">
        <w:rPr>
          <w:sz w:val="22"/>
          <w:szCs w:val="22"/>
          <w:lang w:val="sr-Latn-BA"/>
        </w:rPr>
        <w:t xml:space="preserve">Ukupni bruto efekti tj. razrezi dodatno utvrđene obaveze po rješenjima inspektora u kontrolama iznose 14.760.892 KM dok neto efekti (koji se dobiju kada se od bruto efekata oduzmu iznosi poništenih rješenja iz tekuće i prethodnih godina) iznose 8.118.870 KM. Bruto efekti su niži za 6,79% u odnosu na isti period 2021. godine, kada su iznosili 15.835.895 KM. Neto efekti kontrola su niži za 36,53 procentna poena u odnosu na isti period 2021. godine, kada su iznosili 12.792.649 KM. </w:t>
      </w:r>
    </w:p>
    <w:p w14:paraId="67D4146E" w14:textId="6905EE7D" w:rsidR="003D5318" w:rsidRPr="00512BE3" w:rsidRDefault="0059088D" w:rsidP="003D5318">
      <w:pPr>
        <w:jc w:val="both"/>
        <w:rPr>
          <w:rFonts w:eastAsia="Calibri"/>
          <w:b/>
          <w:i/>
          <w:sz w:val="22"/>
          <w:szCs w:val="22"/>
          <w:lang w:val="sr-Latn-BA" w:eastAsia="en-US"/>
        </w:rPr>
      </w:pPr>
      <w:r w:rsidRPr="00512BE3">
        <w:rPr>
          <w:rFonts w:eastAsia="Calibri"/>
          <w:b/>
          <w:i/>
          <w:sz w:val="22"/>
          <w:szCs w:val="22"/>
          <w:lang w:val="sr-Latn-BA" w:eastAsia="en-US"/>
        </w:rPr>
        <w:t>Tabela 1</w:t>
      </w:r>
      <w:r w:rsidR="007D061D" w:rsidRPr="00512BE3">
        <w:rPr>
          <w:rFonts w:eastAsia="Calibri"/>
          <w:b/>
          <w:i/>
          <w:sz w:val="22"/>
          <w:szCs w:val="22"/>
          <w:lang w:val="sr-Latn-BA" w:eastAsia="en-US"/>
        </w:rPr>
        <w:t>2</w:t>
      </w:r>
      <w:r w:rsidR="004266B3" w:rsidRPr="00512BE3">
        <w:rPr>
          <w:rFonts w:eastAsia="Calibri"/>
          <w:b/>
          <w:i/>
          <w:sz w:val="22"/>
          <w:szCs w:val="22"/>
          <w:lang w:val="sr-Latn-BA" w:eastAsia="en-US"/>
        </w:rPr>
        <w:t>:</w:t>
      </w:r>
      <w:r w:rsidR="00E51721" w:rsidRPr="00512BE3">
        <w:rPr>
          <w:rFonts w:eastAsia="Calibri"/>
          <w:b/>
          <w:i/>
          <w:sz w:val="22"/>
          <w:szCs w:val="22"/>
          <w:lang w:val="sr-Latn-BA" w:eastAsia="en-US"/>
        </w:rPr>
        <w:t xml:space="preserve"> </w:t>
      </w:r>
      <w:r w:rsidR="003D5318" w:rsidRPr="00512BE3">
        <w:rPr>
          <w:rFonts w:eastAsia="Calibri"/>
          <w:b/>
          <w:i/>
          <w:sz w:val="22"/>
          <w:szCs w:val="22"/>
          <w:lang w:val="sr-Latn-BA" w:eastAsia="en-US"/>
        </w:rPr>
        <w:t>Pokazatelji rada Odsjeka za kontr</w:t>
      </w:r>
      <w:r w:rsidR="005E1644" w:rsidRPr="00512BE3">
        <w:rPr>
          <w:rFonts w:eastAsia="Calibri"/>
          <w:b/>
          <w:i/>
          <w:sz w:val="22"/>
          <w:szCs w:val="22"/>
          <w:lang w:val="sr-Latn-BA" w:eastAsia="en-US"/>
        </w:rPr>
        <w:t xml:space="preserve">olu velikih poreskih obveznika </w:t>
      </w:r>
      <w:r w:rsidR="003D5318" w:rsidRPr="00512BE3">
        <w:rPr>
          <w:rFonts w:eastAsia="Calibri"/>
          <w:b/>
          <w:i/>
          <w:sz w:val="22"/>
          <w:szCs w:val="22"/>
          <w:lang w:val="sr-Latn-BA" w:eastAsia="en-US"/>
        </w:rPr>
        <w:t>-</w:t>
      </w:r>
      <w:r w:rsidR="009030E5" w:rsidRPr="00512BE3">
        <w:rPr>
          <w:rFonts w:eastAsia="Calibri"/>
          <w:b/>
          <w:i/>
          <w:sz w:val="22"/>
          <w:szCs w:val="22"/>
          <w:lang w:val="sr-Latn-BA" w:eastAsia="en-US"/>
        </w:rPr>
        <w:t xml:space="preserve"> </w:t>
      </w:r>
      <w:r w:rsidR="003D5318" w:rsidRPr="00512BE3">
        <w:rPr>
          <w:rFonts w:eastAsia="Calibri"/>
          <w:b/>
          <w:i/>
          <w:sz w:val="22"/>
          <w:szCs w:val="22"/>
          <w:lang w:val="sr-Latn-BA" w:eastAsia="en-US"/>
        </w:rPr>
        <w:t>efekti</w:t>
      </w:r>
    </w:p>
    <w:tbl>
      <w:tblPr>
        <w:tblW w:w="493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93"/>
        <w:gridCol w:w="1654"/>
        <w:gridCol w:w="1655"/>
        <w:gridCol w:w="1504"/>
        <w:gridCol w:w="1113"/>
      </w:tblGrid>
      <w:tr w:rsidR="00604A77" w:rsidRPr="00512BE3" w14:paraId="7DC2B226" w14:textId="77777777" w:rsidTr="00604A77">
        <w:trPr>
          <w:trHeight w:val="554"/>
        </w:trPr>
        <w:tc>
          <w:tcPr>
            <w:tcW w:w="1678" w:type="pct"/>
            <w:shd w:val="clear" w:color="000000" w:fill="FFFFCC"/>
            <w:vAlign w:val="center"/>
            <w:hideMark/>
          </w:tcPr>
          <w:p w14:paraId="6A90C156"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Radni zadaci</w:t>
            </w:r>
          </w:p>
        </w:tc>
        <w:tc>
          <w:tcPr>
            <w:tcW w:w="927" w:type="pct"/>
            <w:shd w:val="clear" w:color="000000" w:fill="FFFFCC"/>
            <w:vAlign w:val="center"/>
            <w:hideMark/>
          </w:tcPr>
          <w:p w14:paraId="4E55FBA6"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Period 2022</w:t>
            </w:r>
          </w:p>
        </w:tc>
        <w:tc>
          <w:tcPr>
            <w:tcW w:w="928" w:type="pct"/>
            <w:shd w:val="clear" w:color="000000" w:fill="FFFFCC"/>
            <w:vAlign w:val="center"/>
          </w:tcPr>
          <w:p w14:paraId="53A3EF5D"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Period 2021</w:t>
            </w:r>
          </w:p>
        </w:tc>
        <w:tc>
          <w:tcPr>
            <w:tcW w:w="843" w:type="pct"/>
            <w:shd w:val="clear" w:color="000000" w:fill="FFFFCC"/>
            <w:vAlign w:val="center"/>
            <w:hideMark/>
          </w:tcPr>
          <w:p w14:paraId="53229761"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Razlika</w:t>
            </w:r>
          </w:p>
        </w:tc>
        <w:tc>
          <w:tcPr>
            <w:tcW w:w="624" w:type="pct"/>
            <w:shd w:val="clear" w:color="000000" w:fill="FFFFCC"/>
            <w:vAlign w:val="center"/>
            <w:hideMark/>
          </w:tcPr>
          <w:p w14:paraId="711640D9"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Procenat povećanja /smanjenja u %</w:t>
            </w:r>
          </w:p>
        </w:tc>
      </w:tr>
      <w:tr w:rsidR="00604A77" w:rsidRPr="00512BE3" w14:paraId="5FE705A2" w14:textId="77777777" w:rsidTr="00604A77">
        <w:trPr>
          <w:trHeight w:val="85"/>
        </w:trPr>
        <w:tc>
          <w:tcPr>
            <w:tcW w:w="1678" w:type="pct"/>
            <w:shd w:val="clear" w:color="000000" w:fill="FFFFCC"/>
            <w:vAlign w:val="center"/>
            <w:hideMark/>
          </w:tcPr>
          <w:p w14:paraId="00A28971"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2</w:t>
            </w:r>
          </w:p>
        </w:tc>
        <w:tc>
          <w:tcPr>
            <w:tcW w:w="927" w:type="pct"/>
            <w:shd w:val="clear" w:color="000000" w:fill="FFFFCC"/>
            <w:vAlign w:val="center"/>
            <w:hideMark/>
          </w:tcPr>
          <w:p w14:paraId="767F7370"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3</w:t>
            </w:r>
          </w:p>
        </w:tc>
        <w:tc>
          <w:tcPr>
            <w:tcW w:w="928" w:type="pct"/>
            <w:shd w:val="clear" w:color="000000" w:fill="FFFFCC"/>
            <w:vAlign w:val="center"/>
          </w:tcPr>
          <w:p w14:paraId="127C8328"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4</w:t>
            </w:r>
          </w:p>
        </w:tc>
        <w:tc>
          <w:tcPr>
            <w:tcW w:w="843" w:type="pct"/>
            <w:shd w:val="clear" w:color="000000" w:fill="FFFFCC"/>
            <w:vAlign w:val="center"/>
            <w:hideMark/>
          </w:tcPr>
          <w:p w14:paraId="4DC05119"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5 (3-4)</w:t>
            </w:r>
          </w:p>
        </w:tc>
        <w:tc>
          <w:tcPr>
            <w:tcW w:w="624" w:type="pct"/>
            <w:shd w:val="clear" w:color="000000" w:fill="FFFFCC"/>
            <w:vAlign w:val="center"/>
            <w:hideMark/>
          </w:tcPr>
          <w:p w14:paraId="65F4156E"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6(5/4)</w:t>
            </w:r>
          </w:p>
        </w:tc>
      </w:tr>
      <w:tr w:rsidR="00604A77" w:rsidRPr="00512BE3" w14:paraId="47AB6DFF" w14:textId="77777777" w:rsidTr="00604A77">
        <w:trPr>
          <w:trHeight w:val="294"/>
        </w:trPr>
        <w:tc>
          <w:tcPr>
            <w:tcW w:w="1678" w:type="pct"/>
            <w:shd w:val="clear" w:color="auto" w:fill="auto"/>
            <w:vAlign w:val="center"/>
            <w:hideMark/>
          </w:tcPr>
          <w:p w14:paraId="14CA932F"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Bruto efekti                                                       (</w:t>
            </w:r>
            <w:r w:rsidRPr="00512BE3">
              <w:rPr>
                <w:color w:val="000000" w:themeColor="text1"/>
                <w:sz w:val="20"/>
                <w:szCs w:val="20"/>
                <w:lang w:val="sr-Latn-BA" w:eastAsia="sr-Latn-BA"/>
              </w:rPr>
              <w:t>po PDV i akciznoj prijavi)</w:t>
            </w:r>
          </w:p>
        </w:tc>
        <w:tc>
          <w:tcPr>
            <w:tcW w:w="927" w:type="pct"/>
            <w:shd w:val="clear" w:color="auto" w:fill="auto"/>
            <w:vAlign w:val="center"/>
            <w:hideMark/>
          </w:tcPr>
          <w:p w14:paraId="3A7D3DC1"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13.150.757</w:t>
            </w:r>
          </w:p>
        </w:tc>
        <w:tc>
          <w:tcPr>
            <w:tcW w:w="928" w:type="pct"/>
            <w:vAlign w:val="center"/>
          </w:tcPr>
          <w:p w14:paraId="71B6DA1F"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13.817.376</w:t>
            </w:r>
          </w:p>
        </w:tc>
        <w:tc>
          <w:tcPr>
            <w:tcW w:w="843" w:type="pct"/>
            <w:shd w:val="clear" w:color="auto" w:fill="auto"/>
            <w:vAlign w:val="center"/>
            <w:hideMark/>
          </w:tcPr>
          <w:p w14:paraId="0EDABC45"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-666.619</w:t>
            </w:r>
          </w:p>
        </w:tc>
        <w:tc>
          <w:tcPr>
            <w:tcW w:w="624" w:type="pct"/>
            <w:shd w:val="clear" w:color="auto" w:fill="auto"/>
            <w:vAlign w:val="center"/>
            <w:hideMark/>
          </w:tcPr>
          <w:p w14:paraId="787550D8"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-4,82%</w:t>
            </w:r>
          </w:p>
        </w:tc>
      </w:tr>
      <w:tr w:rsidR="00604A77" w:rsidRPr="00512BE3" w14:paraId="56C3C184" w14:textId="77777777" w:rsidTr="00604A77">
        <w:trPr>
          <w:trHeight w:val="275"/>
        </w:trPr>
        <w:tc>
          <w:tcPr>
            <w:tcW w:w="1678" w:type="pct"/>
            <w:shd w:val="clear" w:color="auto" w:fill="auto"/>
            <w:vAlign w:val="center"/>
            <w:hideMark/>
          </w:tcPr>
          <w:p w14:paraId="3A0374A6"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 xml:space="preserve">Efekti po ručnom zaduženju </w:t>
            </w:r>
          </w:p>
        </w:tc>
        <w:tc>
          <w:tcPr>
            <w:tcW w:w="927" w:type="pct"/>
            <w:shd w:val="clear" w:color="auto" w:fill="auto"/>
            <w:vAlign w:val="center"/>
            <w:hideMark/>
          </w:tcPr>
          <w:p w14:paraId="319EC6EB"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1.610.135</w:t>
            </w:r>
          </w:p>
        </w:tc>
        <w:tc>
          <w:tcPr>
            <w:tcW w:w="928" w:type="pct"/>
            <w:vAlign w:val="center"/>
          </w:tcPr>
          <w:p w14:paraId="3341EB35"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2.018.520</w:t>
            </w:r>
          </w:p>
        </w:tc>
        <w:tc>
          <w:tcPr>
            <w:tcW w:w="843" w:type="pct"/>
            <w:shd w:val="clear" w:color="auto" w:fill="auto"/>
            <w:vAlign w:val="center"/>
            <w:hideMark/>
          </w:tcPr>
          <w:p w14:paraId="02E90ED3"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-408.384</w:t>
            </w:r>
          </w:p>
        </w:tc>
        <w:tc>
          <w:tcPr>
            <w:tcW w:w="624" w:type="pct"/>
            <w:shd w:val="clear" w:color="auto" w:fill="auto"/>
            <w:vAlign w:val="center"/>
            <w:hideMark/>
          </w:tcPr>
          <w:p w14:paraId="41EA5B77"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-20,23%</w:t>
            </w:r>
          </w:p>
        </w:tc>
      </w:tr>
      <w:tr w:rsidR="00604A77" w:rsidRPr="00512BE3" w14:paraId="64A624F7" w14:textId="77777777" w:rsidTr="00604A77">
        <w:trPr>
          <w:trHeight w:val="314"/>
        </w:trPr>
        <w:tc>
          <w:tcPr>
            <w:tcW w:w="1678" w:type="pct"/>
            <w:shd w:val="clear" w:color="auto" w:fill="auto"/>
            <w:vAlign w:val="center"/>
            <w:hideMark/>
          </w:tcPr>
          <w:p w14:paraId="765F9245"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 xml:space="preserve">Ukupni bruto efekti                           </w:t>
            </w:r>
          </w:p>
        </w:tc>
        <w:tc>
          <w:tcPr>
            <w:tcW w:w="927" w:type="pct"/>
            <w:shd w:val="clear" w:color="auto" w:fill="auto"/>
            <w:vAlign w:val="center"/>
            <w:hideMark/>
          </w:tcPr>
          <w:p w14:paraId="4B7B67B6"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14.760.892</w:t>
            </w:r>
          </w:p>
        </w:tc>
        <w:tc>
          <w:tcPr>
            <w:tcW w:w="928" w:type="pct"/>
            <w:vAlign w:val="center"/>
          </w:tcPr>
          <w:p w14:paraId="58469AB1"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15.835.896</w:t>
            </w:r>
          </w:p>
        </w:tc>
        <w:tc>
          <w:tcPr>
            <w:tcW w:w="843" w:type="pct"/>
            <w:shd w:val="clear" w:color="auto" w:fill="auto"/>
            <w:vAlign w:val="center"/>
            <w:hideMark/>
          </w:tcPr>
          <w:p w14:paraId="27A94F85"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-1.075.003</w:t>
            </w:r>
          </w:p>
        </w:tc>
        <w:tc>
          <w:tcPr>
            <w:tcW w:w="624" w:type="pct"/>
            <w:shd w:val="clear" w:color="auto" w:fill="auto"/>
            <w:vAlign w:val="center"/>
            <w:hideMark/>
          </w:tcPr>
          <w:p w14:paraId="255C6547" w14:textId="77777777" w:rsidR="00A560C5" w:rsidRPr="00512BE3" w:rsidRDefault="00A560C5" w:rsidP="00A560C5">
            <w:pPr>
              <w:jc w:val="center"/>
              <w:rPr>
                <w:bCs/>
                <w:color w:val="000000" w:themeColor="text1"/>
                <w:sz w:val="20"/>
                <w:szCs w:val="20"/>
                <w:lang w:val="sr-Latn-BA" w:eastAsia="sr-Latn-BA"/>
              </w:rPr>
            </w:pPr>
            <w:r w:rsidRPr="00512BE3">
              <w:rPr>
                <w:bCs/>
                <w:color w:val="000000" w:themeColor="text1"/>
                <w:sz w:val="20"/>
                <w:szCs w:val="20"/>
                <w:lang w:val="sr-Latn-BA" w:eastAsia="sr-Latn-BA"/>
              </w:rPr>
              <w:t>-6,79%</w:t>
            </w:r>
          </w:p>
        </w:tc>
      </w:tr>
      <w:tr w:rsidR="00604A77" w:rsidRPr="00512BE3" w14:paraId="45A295DC" w14:textId="77777777" w:rsidTr="00604A77">
        <w:trPr>
          <w:trHeight w:val="329"/>
        </w:trPr>
        <w:tc>
          <w:tcPr>
            <w:tcW w:w="1678" w:type="pct"/>
            <w:shd w:val="clear" w:color="auto" w:fill="auto"/>
            <w:vAlign w:val="center"/>
            <w:hideMark/>
          </w:tcPr>
          <w:p w14:paraId="701F682C"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 xml:space="preserve">Umanjenja po žalbi u prvostepenom postupku </w:t>
            </w:r>
          </w:p>
        </w:tc>
        <w:tc>
          <w:tcPr>
            <w:tcW w:w="927" w:type="pct"/>
            <w:shd w:val="clear" w:color="auto" w:fill="auto"/>
            <w:vAlign w:val="center"/>
            <w:hideMark/>
          </w:tcPr>
          <w:p w14:paraId="7FEC4A9B"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-1.514.042</w:t>
            </w:r>
          </w:p>
        </w:tc>
        <w:tc>
          <w:tcPr>
            <w:tcW w:w="928" w:type="pct"/>
            <w:vAlign w:val="center"/>
          </w:tcPr>
          <w:p w14:paraId="26F7086F"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-185.076</w:t>
            </w:r>
          </w:p>
        </w:tc>
        <w:tc>
          <w:tcPr>
            <w:tcW w:w="843" w:type="pct"/>
            <w:shd w:val="clear" w:color="auto" w:fill="auto"/>
            <w:vAlign w:val="center"/>
            <w:hideMark/>
          </w:tcPr>
          <w:p w14:paraId="6E0B41FE"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-1.328.966</w:t>
            </w:r>
          </w:p>
        </w:tc>
        <w:tc>
          <w:tcPr>
            <w:tcW w:w="624" w:type="pct"/>
            <w:shd w:val="clear" w:color="auto" w:fill="auto"/>
            <w:vAlign w:val="center"/>
            <w:hideMark/>
          </w:tcPr>
          <w:p w14:paraId="40EFABE7"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718,07%</w:t>
            </w:r>
          </w:p>
        </w:tc>
      </w:tr>
      <w:tr w:rsidR="00604A77" w:rsidRPr="00512BE3" w14:paraId="2B160DFC" w14:textId="77777777" w:rsidTr="00604A77">
        <w:trPr>
          <w:trHeight w:val="502"/>
        </w:trPr>
        <w:tc>
          <w:tcPr>
            <w:tcW w:w="1678" w:type="pct"/>
            <w:shd w:val="clear" w:color="auto" w:fill="auto"/>
            <w:vAlign w:val="center"/>
            <w:hideMark/>
          </w:tcPr>
          <w:p w14:paraId="253B2E82"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 xml:space="preserve">Umanjenja po žalbi u drugostepenom postupku </w:t>
            </w:r>
          </w:p>
        </w:tc>
        <w:tc>
          <w:tcPr>
            <w:tcW w:w="927" w:type="pct"/>
            <w:shd w:val="clear" w:color="auto" w:fill="auto"/>
            <w:vAlign w:val="center"/>
            <w:hideMark/>
          </w:tcPr>
          <w:p w14:paraId="6A73FAF4"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-5.080.043</w:t>
            </w:r>
          </w:p>
        </w:tc>
        <w:tc>
          <w:tcPr>
            <w:tcW w:w="928" w:type="pct"/>
            <w:vAlign w:val="center"/>
          </w:tcPr>
          <w:p w14:paraId="7E6F58A6"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-2.899.342</w:t>
            </w:r>
          </w:p>
        </w:tc>
        <w:tc>
          <w:tcPr>
            <w:tcW w:w="843" w:type="pct"/>
            <w:shd w:val="clear" w:color="auto" w:fill="auto"/>
            <w:vAlign w:val="center"/>
            <w:hideMark/>
          </w:tcPr>
          <w:p w14:paraId="10A8DBBB"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-2.180.700</w:t>
            </w:r>
          </w:p>
        </w:tc>
        <w:tc>
          <w:tcPr>
            <w:tcW w:w="624" w:type="pct"/>
            <w:shd w:val="clear" w:color="auto" w:fill="auto"/>
            <w:vAlign w:val="center"/>
            <w:hideMark/>
          </w:tcPr>
          <w:p w14:paraId="39025F7D"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75,21%</w:t>
            </w:r>
          </w:p>
        </w:tc>
      </w:tr>
      <w:tr w:rsidR="00604A77" w:rsidRPr="00512BE3" w14:paraId="68D86030" w14:textId="77777777" w:rsidTr="00604A77">
        <w:trPr>
          <w:trHeight w:val="319"/>
        </w:trPr>
        <w:tc>
          <w:tcPr>
            <w:tcW w:w="1678" w:type="pct"/>
            <w:shd w:val="clear" w:color="auto" w:fill="auto"/>
            <w:vAlign w:val="center"/>
            <w:hideMark/>
          </w:tcPr>
          <w:p w14:paraId="4E262C1A"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Korekcije efekata u obnovi postupka</w:t>
            </w:r>
          </w:p>
        </w:tc>
        <w:tc>
          <w:tcPr>
            <w:tcW w:w="927" w:type="pct"/>
            <w:shd w:val="clear" w:color="auto" w:fill="auto"/>
            <w:vAlign w:val="center"/>
            <w:hideMark/>
          </w:tcPr>
          <w:p w14:paraId="2976C913"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-47.937</w:t>
            </w:r>
          </w:p>
        </w:tc>
        <w:tc>
          <w:tcPr>
            <w:tcW w:w="928" w:type="pct"/>
            <w:vAlign w:val="center"/>
          </w:tcPr>
          <w:p w14:paraId="4D0C9965"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41.172</w:t>
            </w:r>
          </w:p>
        </w:tc>
        <w:tc>
          <w:tcPr>
            <w:tcW w:w="843" w:type="pct"/>
            <w:shd w:val="clear" w:color="auto" w:fill="auto"/>
            <w:vAlign w:val="center"/>
            <w:hideMark/>
          </w:tcPr>
          <w:p w14:paraId="77659A12"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-89.109</w:t>
            </w:r>
          </w:p>
        </w:tc>
        <w:tc>
          <w:tcPr>
            <w:tcW w:w="624" w:type="pct"/>
            <w:shd w:val="clear" w:color="auto" w:fill="auto"/>
            <w:vAlign w:val="center"/>
            <w:hideMark/>
          </w:tcPr>
          <w:p w14:paraId="0FD49157"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-216,43%</w:t>
            </w:r>
          </w:p>
        </w:tc>
      </w:tr>
      <w:tr w:rsidR="00604A77" w:rsidRPr="00512BE3" w14:paraId="6FD8325A" w14:textId="77777777" w:rsidTr="00604A77">
        <w:trPr>
          <w:trHeight w:val="318"/>
        </w:trPr>
        <w:tc>
          <w:tcPr>
            <w:tcW w:w="1678" w:type="pct"/>
            <w:shd w:val="clear" w:color="auto" w:fill="auto"/>
            <w:vAlign w:val="center"/>
            <w:hideMark/>
          </w:tcPr>
          <w:p w14:paraId="206DBECC"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 xml:space="preserve">Ukupni neto efekti                                       </w:t>
            </w:r>
          </w:p>
        </w:tc>
        <w:tc>
          <w:tcPr>
            <w:tcW w:w="927" w:type="pct"/>
            <w:shd w:val="clear" w:color="auto" w:fill="auto"/>
            <w:vAlign w:val="center"/>
            <w:hideMark/>
          </w:tcPr>
          <w:p w14:paraId="2D3D5B3F"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8.118.870</w:t>
            </w:r>
          </w:p>
        </w:tc>
        <w:tc>
          <w:tcPr>
            <w:tcW w:w="928" w:type="pct"/>
            <w:vAlign w:val="center"/>
          </w:tcPr>
          <w:p w14:paraId="25E25023"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12.792.650</w:t>
            </w:r>
          </w:p>
        </w:tc>
        <w:tc>
          <w:tcPr>
            <w:tcW w:w="843" w:type="pct"/>
            <w:shd w:val="clear" w:color="auto" w:fill="auto"/>
            <w:vAlign w:val="center"/>
            <w:hideMark/>
          </w:tcPr>
          <w:p w14:paraId="762916CB"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-4.673.779</w:t>
            </w:r>
          </w:p>
        </w:tc>
        <w:tc>
          <w:tcPr>
            <w:tcW w:w="624" w:type="pct"/>
            <w:shd w:val="clear" w:color="auto" w:fill="auto"/>
            <w:vAlign w:val="center"/>
            <w:hideMark/>
          </w:tcPr>
          <w:p w14:paraId="215C5FE9"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-36,53%</w:t>
            </w:r>
          </w:p>
        </w:tc>
      </w:tr>
      <w:tr w:rsidR="00604A77" w:rsidRPr="00512BE3" w14:paraId="2F78D244" w14:textId="77777777" w:rsidTr="00604A77">
        <w:trPr>
          <w:trHeight w:val="321"/>
        </w:trPr>
        <w:tc>
          <w:tcPr>
            <w:tcW w:w="1678" w:type="pct"/>
            <w:shd w:val="clear" w:color="auto" w:fill="auto"/>
            <w:vAlign w:val="center"/>
            <w:hideMark/>
          </w:tcPr>
          <w:p w14:paraId="1B5E9412"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Gradivni PDV po izvršenim kontrolama</w:t>
            </w:r>
          </w:p>
        </w:tc>
        <w:tc>
          <w:tcPr>
            <w:tcW w:w="927" w:type="pct"/>
            <w:shd w:val="clear" w:color="auto" w:fill="auto"/>
            <w:vAlign w:val="center"/>
            <w:hideMark/>
          </w:tcPr>
          <w:p w14:paraId="166327D8"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16.368.159.490</w:t>
            </w:r>
          </w:p>
        </w:tc>
        <w:tc>
          <w:tcPr>
            <w:tcW w:w="928" w:type="pct"/>
            <w:vAlign w:val="center"/>
          </w:tcPr>
          <w:p w14:paraId="74FC50DF"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12.904.193.912</w:t>
            </w:r>
          </w:p>
        </w:tc>
        <w:tc>
          <w:tcPr>
            <w:tcW w:w="843" w:type="pct"/>
            <w:shd w:val="clear" w:color="auto" w:fill="auto"/>
            <w:vAlign w:val="center"/>
            <w:hideMark/>
          </w:tcPr>
          <w:p w14:paraId="0EB77F30"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3.463.965.578</w:t>
            </w:r>
          </w:p>
        </w:tc>
        <w:tc>
          <w:tcPr>
            <w:tcW w:w="624" w:type="pct"/>
            <w:shd w:val="clear" w:color="auto" w:fill="auto"/>
            <w:vAlign w:val="center"/>
            <w:hideMark/>
          </w:tcPr>
          <w:p w14:paraId="309717CD"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26,84%</w:t>
            </w:r>
          </w:p>
        </w:tc>
      </w:tr>
      <w:tr w:rsidR="00604A77" w:rsidRPr="00512BE3" w14:paraId="63CBFDBD" w14:textId="77777777" w:rsidTr="00604A77">
        <w:trPr>
          <w:trHeight w:val="317"/>
        </w:trPr>
        <w:tc>
          <w:tcPr>
            <w:tcW w:w="1678" w:type="pct"/>
            <w:shd w:val="clear" w:color="auto" w:fill="auto"/>
            <w:vAlign w:val="center"/>
            <w:hideMark/>
          </w:tcPr>
          <w:p w14:paraId="005F9E29"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izdatih prekršajnih naloga</w:t>
            </w:r>
          </w:p>
        </w:tc>
        <w:tc>
          <w:tcPr>
            <w:tcW w:w="927" w:type="pct"/>
            <w:shd w:val="clear" w:color="auto" w:fill="auto"/>
            <w:vAlign w:val="center"/>
            <w:hideMark/>
          </w:tcPr>
          <w:p w14:paraId="6F4344F6"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665</w:t>
            </w:r>
          </w:p>
        </w:tc>
        <w:tc>
          <w:tcPr>
            <w:tcW w:w="928" w:type="pct"/>
            <w:vAlign w:val="center"/>
          </w:tcPr>
          <w:p w14:paraId="02B988CF"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741</w:t>
            </w:r>
          </w:p>
        </w:tc>
        <w:tc>
          <w:tcPr>
            <w:tcW w:w="843" w:type="pct"/>
            <w:shd w:val="clear" w:color="auto" w:fill="auto"/>
            <w:vAlign w:val="center"/>
            <w:hideMark/>
          </w:tcPr>
          <w:p w14:paraId="22C21D3B"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-76</w:t>
            </w:r>
          </w:p>
        </w:tc>
        <w:tc>
          <w:tcPr>
            <w:tcW w:w="624" w:type="pct"/>
            <w:shd w:val="clear" w:color="auto" w:fill="auto"/>
            <w:vAlign w:val="center"/>
            <w:hideMark/>
          </w:tcPr>
          <w:p w14:paraId="0BE82479"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-10,26%</w:t>
            </w:r>
          </w:p>
        </w:tc>
      </w:tr>
      <w:tr w:rsidR="00604A77" w:rsidRPr="00512BE3" w14:paraId="6ACE829E" w14:textId="77777777" w:rsidTr="00604A77">
        <w:trPr>
          <w:trHeight w:val="310"/>
        </w:trPr>
        <w:tc>
          <w:tcPr>
            <w:tcW w:w="1678" w:type="pct"/>
            <w:shd w:val="clear" w:color="auto" w:fill="auto"/>
            <w:vAlign w:val="center"/>
            <w:hideMark/>
          </w:tcPr>
          <w:p w14:paraId="4DA0E065"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Ukupan iznos izrečene kazne po prekršaju</w:t>
            </w:r>
          </w:p>
        </w:tc>
        <w:tc>
          <w:tcPr>
            <w:tcW w:w="927" w:type="pct"/>
            <w:shd w:val="clear" w:color="auto" w:fill="auto"/>
            <w:vAlign w:val="center"/>
            <w:hideMark/>
          </w:tcPr>
          <w:p w14:paraId="2FCD69B8"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2.201.748</w:t>
            </w:r>
          </w:p>
        </w:tc>
        <w:tc>
          <w:tcPr>
            <w:tcW w:w="928" w:type="pct"/>
            <w:vAlign w:val="center"/>
          </w:tcPr>
          <w:p w14:paraId="765D8850"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2.570.063</w:t>
            </w:r>
          </w:p>
        </w:tc>
        <w:tc>
          <w:tcPr>
            <w:tcW w:w="843" w:type="pct"/>
            <w:shd w:val="clear" w:color="auto" w:fill="auto"/>
            <w:vAlign w:val="center"/>
            <w:hideMark/>
          </w:tcPr>
          <w:p w14:paraId="7D436869"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-368.314</w:t>
            </w:r>
          </w:p>
        </w:tc>
        <w:tc>
          <w:tcPr>
            <w:tcW w:w="624" w:type="pct"/>
            <w:shd w:val="clear" w:color="auto" w:fill="auto"/>
            <w:vAlign w:val="center"/>
            <w:hideMark/>
          </w:tcPr>
          <w:p w14:paraId="1E096E05"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-14,33%</w:t>
            </w:r>
          </w:p>
        </w:tc>
      </w:tr>
      <w:tr w:rsidR="00604A77" w:rsidRPr="00512BE3" w14:paraId="128F4592" w14:textId="77777777" w:rsidTr="00604A77">
        <w:trPr>
          <w:trHeight w:val="441"/>
        </w:trPr>
        <w:tc>
          <w:tcPr>
            <w:tcW w:w="1678" w:type="pct"/>
            <w:shd w:val="clear" w:color="auto" w:fill="auto"/>
            <w:vAlign w:val="center"/>
            <w:hideMark/>
          </w:tcPr>
          <w:p w14:paraId="348E66CE"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zahtjeva za pokretanje prekršajnog postupka</w:t>
            </w:r>
          </w:p>
        </w:tc>
        <w:tc>
          <w:tcPr>
            <w:tcW w:w="927" w:type="pct"/>
            <w:shd w:val="clear" w:color="auto" w:fill="auto"/>
            <w:vAlign w:val="center"/>
            <w:hideMark/>
          </w:tcPr>
          <w:p w14:paraId="560AC699"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12</w:t>
            </w:r>
          </w:p>
        </w:tc>
        <w:tc>
          <w:tcPr>
            <w:tcW w:w="928" w:type="pct"/>
            <w:vAlign w:val="center"/>
          </w:tcPr>
          <w:p w14:paraId="7671CCA5"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18</w:t>
            </w:r>
          </w:p>
        </w:tc>
        <w:tc>
          <w:tcPr>
            <w:tcW w:w="843" w:type="pct"/>
            <w:shd w:val="clear" w:color="auto" w:fill="auto"/>
            <w:vAlign w:val="center"/>
            <w:hideMark/>
          </w:tcPr>
          <w:p w14:paraId="06C4D9D2"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w:t>
            </w:r>
          </w:p>
        </w:tc>
        <w:tc>
          <w:tcPr>
            <w:tcW w:w="624" w:type="pct"/>
            <w:shd w:val="clear" w:color="auto" w:fill="auto"/>
            <w:vAlign w:val="center"/>
            <w:hideMark/>
          </w:tcPr>
          <w:p w14:paraId="48E4F4C7"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-33,33%</w:t>
            </w:r>
          </w:p>
        </w:tc>
      </w:tr>
      <w:tr w:rsidR="00604A77" w:rsidRPr="00512BE3" w14:paraId="365CBA22" w14:textId="77777777" w:rsidTr="00604A77">
        <w:trPr>
          <w:trHeight w:val="322"/>
        </w:trPr>
        <w:tc>
          <w:tcPr>
            <w:tcW w:w="1678" w:type="pct"/>
            <w:shd w:val="clear" w:color="auto" w:fill="auto"/>
            <w:vAlign w:val="center"/>
            <w:hideMark/>
          </w:tcPr>
          <w:p w14:paraId="6D193EFC"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Ukupno naplaćen iznos po prekršajnim nalozima</w:t>
            </w:r>
          </w:p>
        </w:tc>
        <w:tc>
          <w:tcPr>
            <w:tcW w:w="927" w:type="pct"/>
            <w:shd w:val="clear" w:color="auto" w:fill="auto"/>
            <w:vAlign w:val="center"/>
            <w:hideMark/>
          </w:tcPr>
          <w:p w14:paraId="7C922FAC"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419.529</w:t>
            </w:r>
          </w:p>
        </w:tc>
        <w:tc>
          <w:tcPr>
            <w:tcW w:w="928" w:type="pct"/>
            <w:vAlign w:val="center"/>
          </w:tcPr>
          <w:p w14:paraId="0F3BC981"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563.604</w:t>
            </w:r>
          </w:p>
        </w:tc>
        <w:tc>
          <w:tcPr>
            <w:tcW w:w="843" w:type="pct"/>
            <w:shd w:val="clear" w:color="auto" w:fill="auto"/>
            <w:vAlign w:val="center"/>
            <w:hideMark/>
          </w:tcPr>
          <w:p w14:paraId="03AE229F"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-144.074</w:t>
            </w:r>
          </w:p>
        </w:tc>
        <w:tc>
          <w:tcPr>
            <w:tcW w:w="624" w:type="pct"/>
            <w:shd w:val="clear" w:color="auto" w:fill="auto"/>
            <w:vAlign w:val="center"/>
            <w:hideMark/>
          </w:tcPr>
          <w:p w14:paraId="4A72EF8C" w14:textId="77777777" w:rsidR="00A560C5" w:rsidRPr="00512BE3" w:rsidRDefault="00A560C5" w:rsidP="00A560C5">
            <w:pPr>
              <w:jc w:val="center"/>
              <w:rPr>
                <w:color w:val="000000" w:themeColor="text1"/>
                <w:sz w:val="20"/>
                <w:szCs w:val="20"/>
                <w:lang w:val="sr-Latn-BA"/>
              </w:rPr>
            </w:pPr>
            <w:r w:rsidRPr="00512BE3">
              <w:rPr>
                <w:color w:val="000000" w:themeColor="text1"/>
                <w:sz w:val="20"/>
                <w:szCs w:val="20"/>
                <w:lang w:val="sr-Latn-BA"/>
              </w:rPr>
              <w:t>-25,56%</w:t>
            </w:r>
          </w:p>
        </w:tc>
      </w:tr>
      <w:tr w:rsidR="00604A77" w:rsidRPr="00512BE3" w14:paraId="2C116575" w14:textId="77777777" w:rsidTr="00604A77">
        <w:trPr>
          <w:trHeight w:val="432"/>
        </w:trPr>
        <w:tc>
          <w:tcPr>
            <w:tcW w:w="1678" w:type="pct"/>
            <w:shd w:val="clear" w:color="auto" w:fill="auto"/>
            <w:vAlign w:val="center"/>
            <w:hideMark/>
          </w:tcPr>
          <w:p w14:paraId="019A2086"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Ukupan broj prekršajnih naloga za koje je zatraženo sudsko odlučivanje</w:t>
            </w:r>
          </w:p>
        </w:tc>
        <w:tc>
          <w:tcPr>
            <w:tcW w:w="927" w:type="pct"/>
            <w:shd w:val="clear" w:color="auto" w:fill="auto"/>
            <w:vAlign w:val="center"/>
            <w:hideMark/>
          </w:tcPr>
          <w:p w14:paraId="10DE6BFB"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95</w:t>
            </w:r>
          </w:p>
        </w:tc>
        <w:tc>
          <w:tcPr>
            <w:tcW w:w="928" w:type="pct"/>
            <w:vAlign w:val="center"/>
          </w:tcPr>
          <w:p w14:paraId="3FE1319C"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102</w:t>
            </w:r>
          </w:p>
        </w:tc>
        <w:tc>
          <w:tcPr>
            <w:tcW w:w="843" w:type="pct"/>
            <w:shd w:val="clear" w:color="auto" w:fill="auto"/>
            <w:vAlign w:val="center"/>
            <w:hideMark/>
          </w:tcPr>
          <w:p w14:paraId="3D390035"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-7</w:t>
            </w:r>
          </w:p>
        </w:tc>
        <w:tc>
          <w:tcPr>
            <w:tcW w:w="624" w:type="pct"/>
            <w:shd w:val="clear" w:color="auto" w:fill="auto"/>
            <w:vAlign w:val="center"/>
            <w:hideMark/>
          </w:tcPr>
          <w:p w14:paraId="4EC9BAD5"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-6,86%</w:t>
            </w:r>
          </w:p>
        </w:tc>
      </w:tr>
      <w:tr w:rsidR="00604A77" w:rsidRPr="00512BE3" w14:paraId="1AE8F464" w14:textId="77777777" w:rsidTr="00604A77">
        <w:trPr>
          <w:trHeight w:val="315"/>
        </w:trPr>
        <w:tc>
          <w:tcPr>
            <w:tcW w:w="1678" w:type="pct"/>
            <w:shd w:val="clear" w:color="auto" w:fill="auto"/>
            <w:vAlign w:val="center"/>
            <w:hideMark/>
          </w:tcPr>
          <w:p w14:paraId="3FE0F712"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poslanih zahtjeva za informaciju</w:t>
            </w:r>
          </w:p>
        </w:tc>
        <w:tc>
          <w:tcPr>
            <w:tcW w:w="927" w:type="pct"/>
            <w:shd w:val="clear" w:color="auto" w:fill="auto"/>
            <w:vAlign w:val="center"/>
            <w:hideMark/>
          </w:tcPr>
          <w:p w14:paraId="34733638"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142</w:t>
            </w:r>
          </w:p>
        </w:tc>
        <w:tc>
          <w:tcPr>
            <w:tcW w:w="928" w:type="pct"/>
            <w:vAlign w:val="center"/>
          </w:tcPr>
          <w:p w14:paraId="42F3E387"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82</w:t>
            </w:r>
          </w:p>
        </w:tc>
        <w:tc>
          <w:tcPr>
            <w:tcW w:w="843" w:type="pct"/>
            <w:shd w:val="clear" w:color="auto" w:fill="auto"/>
            <w:vAlign w:val="center"/>
            <w:hideMark/>
          </w:tcPr>
          <w:p w14:paraId="216C7C13"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60</w:t>
            </w:r>
          </w:p>
        </w:tc>
        <w:tc>
          <w:tcPr>
            <w:tcW w:w="624" w:type="pct"/>
            <w:shd w:val="clear" w:color="auto" w:fill="auto"/>
            <w:vAlign w:val="center"/>
            <w:hideMark/>
          </w:tcPr>
          <w:p w14:paraId="59E0AA0F"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73,17%</w:t>
            </w:r>
          </w:p>
        </w:tc>
      </w:tr>
      <w:tr w:rsidR="00604A77" w:rsidRPr="00512BE3" w14:paraId="233C2997" w14:textId="77777777" w:rsidTr="00604A77">
        <w:trPr>
          <w:trHeight w:val="306"/>
        </w:trPr>
        <w:tc>
          <w:tcPr>
            <w:tcW w:w="1678" w:type="pct"/>
            <w:shd w:val="clear" w:color="auto" w:fill="auto"/>
            <w:vAlign w:val="center"/>
            <w:hideMark/>
          </w:tcPr>
          <w:p w14:paraId="3CE8ED59"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lastRenderedPageBreak/>
              <w:t>Broj primljenih zahtjeva za informaciju</w:t>
            </w:r>
          </w:p>
        </w:tc>
        <w:tc>
          <w:tcPr>
            <w:tcW w:w="927" w:type="pct"/>
            <w:shd w:val="clear" w:color="auto" w:fill="auto"/>
            <w:vAlign w:val="center"/>
            <w:hideMark/>
          </w:tcPr>
          <w:p w14:paraId="4EE647F9"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105</w:t>
            </w:r>
          </w:p>
        </w:tc>
        <w:tc>
          <w:tcPr>
            <w:tcW w:w="928" w:type="pct"/>
            <w:vAlign w:val="center"/>
          </w:tcPr>
          <w:p w14:paraId="7363F0B9"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94</w:t>
            </w:r>
          </w:p>
        </w:tc>
        <w:tc>
          <w:tcPr>
            <w:tcW w:w="843" w:type="pct"/>
            <w:shd w:val="clear" w:color="auto" w:fill="auto"/>
            <w:vAlign w:val="center"/>
            <w:hideMark/>
          </w:tcPr>
          <w:p w14:paraId="5C16DE2B"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11</w:t>
            </w:r>
          </w:p>
        </w:tc>
        <w:tc>
          <w:tcPr>
            <w:tcW w:w="624" w:type="pct"/>
            <w:shd w:val="clear" w:color="auto" w:fill="auto"/>
            <w:vAlign w:val="center"/>
            <w:hideMark/>
          </w:tcPr>
          <w:p w14:paraId="7456064A"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11,70%</w:t>
            </w:r>
          </w:p>
        </w:tc>
      </w:tr>
      <w:tr w:rsidR="00604A77" w:rsidRPr="00512BE3" w14:paraId="4CBABB95" w14:textId="77777777" w:rsidTr="00604A77">
        <w:trPr>
          <w:trHeight w:val="332"/>
        </w:trPr>
        <w:tc>
          <w:tcPr>
            <w:tcW w:w="1678" w:type="pct"/>
            <w:shd w:val="clear" w:color="auto" w:fill="auto"/>
            <w:vAlign w:val="center"/>
            <w:hideMark/>
          </w:tcPr>
          <w:p w14:paraId="61A03B46"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poslanih kontrolnih poruka</w:t>
            </w:r>
          </w:p>
        </w:tc>
        <w:tc>
          <w:tcPr>
            <w:tcW w:w="927" w:type="pct"/>
            <w:shd w:val="clear" w:color="auto" w:fill="auto"/>
            <w:vAlign w:val="center"/>
            <w:hideMark/>
          </w:tcPr>
          <w:p w14:paraId="5B0ECA9D"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2811</w:t>
            </w:r>
          </w:p>
        </w:tc>
        <w:tc>
          <w:tcPr>
            <w:tcW w:w="928" w:type="pct"/>
            <w:vAlign w:val="center"/>
          </w:tcPr>
          <w:p w14:paraId="617FCF3C"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2774</w:t>
            </w:r>
          </w:p>
        </w:tc>
        <w:tc>
          <w:tcPr>
            <w:tcW w:w="843" w:type="pct"/>
            <w:shd w:val="clear" w:color="auto" w:fill="auto"/>
            <w:vAlign w:val="center"/>
            <w:hideMark/>
          </w:tcPr>
          <w:p w14:paraId="7F3E27B4"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37</w:t>
            </w:r>
          </w:p>
        </w:tc>
        <w:tc>
          <w:tcPr>
            <w:tcW w:w="624" w:type="pct"/>
            <w:shd w:val="clear" w:color="auto" w:fill="auto"/>
            <w:vAlign w:val="center"/>
            <w:hideMark/>
          </w:tcPr>
          <w:p w14:paraId="0E862EB6"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1,33%</w:t>
            </w:r>
          </w:p>
        </w:tc>
      </w:tr>
      <w:tr w:rsidR="00604A77" w:rsidRPr="00512BE3" w14:paraId="4F3C9092" w14:textId="77777777" w:rsidTr="00604A77">
        <w:trPr>
          <w:trHeight w:val="418"/>
        </w:trPr>
        <w:tc>
          <w:tcPr>
            <w:tcW w:w="1678" w:type="pct"/>
            <w:shd w:val="clear" w:color="auto" w:fill="auto"/>
            <w:vAlign w:val="center"/>
            <w:hideMark/>
          </w:tcPr>
          <w:p w14:paraId="4E75D1B9"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poslatih obrazaca 4x4 Sektoru 05</w:t>
            </w:r>
          </w:p>
        </w:tc>
        <w:tc>
          <w:tcPr>
            <w:tcW w:w="927" w:type="pct"/>
            <w:shd w:val="clear" w:color="auto" w:fill="auto"/>
            <w:vAlign w:val="center"/>
            <w:hideMark/>
          </w:tcPr>
          <w:p w14:paraId="18FB8A04"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w:t>
            </w:r>
          </w:p>
        </w:tc>
        <w:tc>
          <w:tcPr>
            <w:tcW w:w="928" w:type="pct"/>
            <w:vAlign w:val="center"/>
          </w:tcPr>
          <w:p w14:paraId="04EA6CD6"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2</w:t>
            </w:r>
          </w:p>
        </w:tc>
        <w:tc>
          <w:tcPr>
            <w:tcW w:w="843" w:type="pct"/>
            <w:shd w:val="clear" w:color="auto" w:fill="auto"/>
            <w:vAlign w:val="center"/>
            <w:hideMark/>
          </w:tcPr>
          <w:p w14:paraId="305DF5C1"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w:t>
            </w:r>
          </w:p>
        </w:tc>
        <w:tc>
          <w:tcPr>
            <w:tcW w:w="624" w:type="pct"/>
            <w:shd w:val="clear" w:color="auto" w:fill="auto"/>
            <w:vAlign w:val="center"/>
            <w:hideMark/>
          </w:tcPr>
          <w:p w14:paraId="1FA9C6CE"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50,00%</w:t>
            </w:r>
          </w:p>
        </w:tc>
      </w:tr>
      <w:tr w:rsidR="00604A77" w:rsidRPr="00512BE3" w14:paraId="0F5E9240" w14:textId="77777777" w:rsidTr="00604A77">
        <w:trPr>
          <w:trHeight w:val="468"/>
        </w:trPr>
        <w:tc>
          <w:tcPr>
            <w:tcW w:w="1678" w:type="pct"/>
            <w:shd w:val="clear" w:color="auto" w:fill="auto"/>
            <w:vAlign w:val="center"/>
            <w:hideMark/>
          </w:tcPr>
          <w:p w14:paraId="7C701DF5"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 xml:space="preserve">Broj obavještenja o postojanju počinjenom krivičnom djelu </w:t>
            </w:r>
          </w:p>
        </w:tc>
        <w:tc>
          <w:tcPr>
            <w:tcW w:w="927" w:type="pct"/>
            <w:shd w:val="clear" w:color="auto" w:fill="auto"/>
            <w:vAlign w:val="center"/>
            <w:hideMark/>
          </w:tcPr>
          <w:p w14:paraId="743A3929"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39</w:t>
            </w:r>
          </w:p>
        </w:tc>
        <w:tc>
          <w:tcPr>
            <w:tcW w:w="928" w:type="pct"/>
            <w:vAlign w:val="center"/>
          </w:tcPr>
          <w:p w14:paraId="78AFCF27"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42</w:t>
            </w:r>
          </w:p>
        </w:tc>
        <w:tc>
          <w:tcPr>
            <w:tcW w:w="843" w:type="pct"/>
            <w:shd w:val="clear" w:color="auto" w:fill="auto"/>
            <w:vAlign w:val="center"/>
            <w:hideMark/>
          </w:tcPr>
          <w:p w14:paraId="0BAB15B7"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w:t>
            </w:r>
          </w:p>
        </w:tc>
        <w:tc>
          <w:tcPr>
            <w:tcW w:w="624" w:type="pct"/>
            <w:shd w:val="clear" w:color="auto" w:fill="auto"/>
            <w:vAlign w:val="center"/>
            <w:hideMark/>
          </w:tcPr>
          <w:p w14:paraId="3D6CBB69"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-7,14%</w:t>
            </w:r>
          </w:p>
        </w:tc>
      </w:tr>
      <w:tr w:rsidR="00604A77" w:rsidRPr="00512BE3" w14:paraId="0791699F" w14:textId="77777777" w:rsidTr="00604A77">
        <w:trPr>
          <w:trHeight w:val="423"/>
        </w:trPr>
        <w:tc>
          <w:tcPr>
            <w:tcW w:w="1678" w:type="pct"/>
            <w:shd w:val="clear" w:color="auto" w:fill="auto"/>
            <w:vAlign w:val="center"/>
            <w:hideMark/>
          </w:tcPr>
          <w:p w14:paraId="11EC3962"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izjavljenih žalbi na rješenje inspektora</w:t>
            </w:r>
          </w:p>
        </w:tc>
        <w:tc>
          <w:tcPr>
            <w:tcW w:w="927" w:type="pct"/>
            <w:shd w:val="clear" w:color="auto" w:fill="auto"/>
            <w:vAlign w:val="center"/>
            <w:hideMark/>
          </w:tcPr>
          <w:p w14:paraId="2E62286A"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47</w:t>
            </w:r>
          </w:p>
        </w:tc>
        <w:tc>
          <w:tcPr>
            <w:tcW w:w="928" w:type="pct"/>
            <w:vAlign w:val="center"/>
          </w:tcPr>
          <w:p w14:paraId="06B52CC0"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81</w:t>
            </w:r>
          </w:p>
        </w:tc>
        <w:tc>
          <w:tcPr>
            <w:tcW w:w="843" w:type="pct"/>
            <w:shd w:val="clear" w:color="auto" w:fill="auto"/>
            <w:vAlign w:val="center"/>
            <w:hideMark/>
          </w:tcPr>
          <w:p w14:paraId="6F8264BD"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-34</w:t>
            </w:r>
          </w:p>
        </w:tc>
        <w:tc>
          <w:tcPr>
            <w:tcW w:w="624" w:type="pct"/>
            <w:shd w:val="clear" w:color="auto" w:fill="auto"/>
            <w:vAlign w:val="center"/>
            <w:hideMark/>
          </w:tcPr>
          <w:p w14:paraId="785FA031"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-41,98%</w:t>
            </w:r>
          </w:p>
        </w:tc>
      </w:tr>
      <w:tr w:rsidR="00604A77" w:rsidRPr="00512BE3" w14:paraId="42FEF204" w14:textId="77777777" w:rsidTr="00604A77">
        <w:trPr>
          <w:trHeight w:val="302"/>
        </w:trPr>
        <w:tc>
          <w:tcPr>
            <w:tcW w:w="1678" w:type="pct"/>
            <w:shd w:val="clear" w:color="auto" w:fill="auto"/>
            <w:vAlign w:val="center"/>
            <w:hideMark/>
          </w:tcPr>
          <w:p w14:paraId="0596F787"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poništenih rješenja po žalbi po rješenju šefa Grupe</w:t>
            </w:r>
          </w:p>
        </w:tc>
        <w:tc>
          <w:tcPr>
            <w:tcW w:w="927" w:type="pct"/>
            <w:shd w:val="clear" w:color="auto" w:fill="auto"/>
            <w:vAlign w:val="center"/>
            <w:hideMark/>
          </w:tcPr>
          <w:p w14:paraId="0BA29EBC"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7</w:t>
            </w:r>
          </w:p>
        </w:tc>
        <w:tc>
          <w:tcPr>
            <w:tcW w:w="928" w:type="pct"/>
            <w:vAlign w:val="center"/>
          </w:tcPr>
          <w:p w14:paraId="78B0379C"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w:t>
            </w:r>
          </w:p>
        </w:tc>
        <w:tc>
          <w:tcPr>
            <w:tcW w:w="843" w:type="pct"/>
            <w:shd w:val="clear" w:color="auto" w:fill="auto"/>
            <w:vAlign w:val="center"/>
            <w:hideMark/>
          </w:tcPr>
          <w:p w14:paraId="1B52470C"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w:t>
            </w:r>
          </w:p>
        </w:tc>
        <w:tc>
          <w:tcPr>
            <w:tcW w:w="624" w:type="pct"/>
            <w:shd w:val="clear" w:color="auto" w:fill="auto"/>
            <w:vAlign w:val="center"/>
            <w:hideMark/>
          </w:tcPr>
          <w:p w14:paraId="3E7C5613"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600%</w:t>
            </w:r>
          </w:p>
        </w:tc>
      </w:tr>
      <w:tr w:rsidR="00604A77" w:rsidRPr="00512BE3" w14:paraId="4E2F0AAF" w14:textId="77777777" w:rsidTr="00604A77">
        <w:trPr>
          <w:trHeight w:val="368"/>
        </w:trPr>
        <w:tc>
          <w:tcPr>
            <w:tcW w:w="1678" w:type="pct"/>
            <w:shd w:val="clear" w:color="auto" w:fill="auto"/>
            <w:vAlign w:val="center"/>
            <w:hideMark/>
          </w:tcPr>
          <w:p w14:paraId="4E2AE032" w14:textId="77777777" w:rsidR="00A560C5" w:rsidRPr="00512BE3" w:rsidRDefault="00A560C5" w:rsidP="00A560C5">
            <w:pPr>
              <w:rPr>
                <w:bCs/>
                <w:color w:val="000000" w:themeColor="text1"/>
                <w:sz w:val="20"/>
                <w:szCs w:val="20"/>
                <w:lang w:val="sr-Latn-BA" w:eastAsia="sr-Latn-BA"/>
              </w:rPr>
            </w:pPr>
            <w:r w:rsidRPr="00512BE3">
              <w:rPr>
                <w:bCs/>
                <w:color w:val="000000" w:themeColor="text1"/>
                <w:sz w:val="20"/>
                <w:szCs w:val="20"/>
                <w:lang w:val="sr-Latn-BA" w:eastAsia="sr-Latn-BA"/>
              </w:rPr>
              <w:t>Broj poništenih rješenja u II stupnju</w:t>
            </w:r>
          </w:p>
        </w:tc>
        <w:tc>
          <w:tcPr>
            <w:tcW w:w="927" w:type="pct"/>
            <w:shd w:val="clear" w:color="auto" w:fill="auto"/>
            <w:vAlign w:val="center"/>
            <w:hideMark/>
          </w:tcPr>
          <w:p w14:paraId="5DE7B2C2"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31</w:t>
            </w:r>
          </w:p>
        </w:tc>
        <w:tc>
          <w:tcPr>
            <w:tcW w:w="928" w:type="pct"/>
            <w:vAlign w:val="center"/>
          </w:tcPr>
          <w:p w14:paraId="1CC19917"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26</w:t>
            </w:r>
          </w:p>
        </w:tc>
        <w:tc>
          <w:tcPr>
            <w:tcW w:w="843" w:type="pct"/>
            <w:shd w:val="clear" w:color="auto" w:fill="auto"/>
            <w:vAlign w:val="center"/>
            <w:hideMark/>
          </w:tcPr>
          <w:p w14:paraId="4A1ACE50"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5</w:t>
            </w:r>
          </w:p>
        </w:tc>
        <w:tc>
          <w:tcPr>
            <w:tcW w:w="624" w:type="pct"/>
            <w:shd w:val="clear" w:color="auto" w:fill="auto"/>
            <w:vAlign w:val="center"/>
            <w:hideMark/>
          </w:tcPr>
          <w:p w14:paraId="0169AD6E" w14:textId="77777777" w:rsidR="00A560C5" w:rsidRPr="00512BE3" w:rsidRDefault="00A560C5" w:rsidP="00A560C5">
            <w:pPr>
              <w:jc w:val="center"/>
              <w:rPr>
                <w:color w:val="000000" w:themeColor="text1"/>
                <w:sz w:val="20"/>
                <w:szCs w:val="20"/>
                <w:lang w:val="sr-Latn-BA" w:eastAsia="sr-Latn-BA"/>
              </w:rPr>
            </w:pPr>
            <w:r w:rsidRPr="00512BE3">
              <w:rPr>
                <w:color w:val="000000" w:themeColor="text1"/>
                <w:sz w:val="20"/>
                <w:szCs w:val="20"/>
                <w:lang w:val="sr-Latn-BA" w:eastAsia="sr-Latn-BA"/>
              </w:rPr>
              <w:t>19,23%</w:t>
            </w:r>
          </w:p>
        </w:tc>
      </w:tr>
    </w:tbl>
    <w:p w14:paraId="7BC0993D" w14:textId="05DCEE4D" w:rsidR="00215B41" w:rsidRPr="00215B41" w:rsidRDefault="00215B41" w:rsidP="00215B41">
      <w:pPr>
        <w:rPr>
          <w:lang w:val="sr-Latn-BA"/>
        </w:rPr>
      </w:pPr>
      <w:bookmarkStart w:id="28" w:name="_Toc95294156"/>
    </w:p>
    <w:p w14:paraId="28D6CB88" w14:textId="0D398B12" w:rsidR="0031471E" w:rsidRPr="00512BE3" w:rsidRDefault="00215B41" w:rsidP="00215B41">
      <w:pPr>
        <w:pStyle w:val="Heading2"/>
        <w:numPr>
          <w:ilvl w:val="1"/>
          <w:numId w:val="30"/>
        </w:numPr>
        <w:rPr>
          <w:lang w:val="sr-Latn-BA"/>
        </w:rPr>
      </w:pPr>
      <w:r>
        <w:rPr>
          <w:lang w:val="sr-Latn-BA"/>
        </w:rPr>
        <w:t xml:space="preserve"> </w:t>
      </w:r>
      <w:r w:rsidR="001C728D" w:rsidRPr="00512BE3">
        <w:rPr>
          <w:lang w:val="sr-Latn-BA"/>
        </w:rPr>
        <w:t>Suzbijanje krivičnih djela i prekršaja</w:t>
      </w:r>
      <w:bookmarkEnd w:id="28"/>
    </w:p>
    <w:p w14:paraId="7E3B56E2" w14:textId="7B4548C4" w:rsidR="00356A84" w:rsidRPr="00A83463" w:rsidRDefault="0031471E" w:rsidP="00A83463">
      <w:pPr>
        <w:spacing w:after="80"/>
        <w:ind w:firstLine="425"/>
        <w:jc w:val="both"/>
        <w:rPr>
          <w:sz w:val="22"/>
          <w:lang w:val="en-GB" w:eastAsia="en-GB"/>
        </w:rPr>
      </w:pPr>
      <w:r w:rsidRPr="00512BE3">
        <w:rPr>
          <w:sz w:val="22"/>
          <w:lang w:val="en-GB" w:eastAsia="en-GB"/>
        </w:rPr>
        <w:t>U oblasti suzbijanja krivičnih djela i prekršaja</w:t>
      </w:r>
      <w:r w:rsidR="00554F53" w:rsidRPr="00512BE3">
        <w:rPr>
          <w:sz w:val="22"/>
          <w:lang w:val="en-GB" w:eastAsia="en-GB"/>
        </w:rPr>
        <w:t xml:space="preserve"> u izvještajnom periodu preduzimane su radnje na provođenju planiranih aktivnosti na otkrivanju i sprječavanju krijumčarenja i nelegalnog prometa roba </w:t>
      </w:r>
      <w:r w:rsidRPr="00512BE3">
        <w:rPr>
          <w:sz w:val="22"/>
          <w:lang w:val="en-GB" w:eastAsia="en-GB"/>
        </w:rPr>
        <w:t>i ostvare</w:t>
      </w:r>
      <w:r w:rsidR="000B703C" w:rsidRPr="00512BE3">
        <w:rPr>
          <w:sz w:val="22"/>
          <w:lang w:val="en-GB" w:eastAsia="en-GB"/>
        </w:rPr>
        <w:t>ni rezultat</w:t>
      </w:r>
      <w:r w:rsidR="00554F53" w:rsidRPr="00512BE3">
        <w:rPr>
          <w:sz w:val="22"/>
          <w:lang w:val="en-GB" w:eastAsia="en-GB"/>
        </w:rPr>
        <w:t>i su iskazani u tabelarnom pregledu</w:t>
      </w:r>
      <w:r w:rsidR="000B703C" w:rsidRPr="00512BE3">
        <w:rPr>
          <w:sz w:val="22"/>
          <w:lang w:val="en-GB" w:eastAsia="en-GB"/>
        </w:rPr>
        <w:t xml:space="preserve"> </w:t>
      </w:r>
      <w:r w:rsidR="002945F4" w:rsidRPr="00215B41">
        <w:rPr>
          <w:i/>
          <w:sz w:val="22"/>
          <w:lang w:val="en-GB" w:eastAsia="en-GB"/>
        </w:rPr>
        <w:t>(Tabela 1</w:t>
      </w:r>
      <w:r w:rsidR="007D061D" w:rsidRPr="00215B41">
        <w:rPr>
          <w:i/>
          <w:sz w:val="22"/>
          <w:lang w:val="en-GB" w:eastAsia="en-GB"/>
        </w:rPr>
        <w:t>3</w:t>
      </w:r>
      <w:r w:rsidR="000B703C" w:rsidRPr="00215B41">
        <w:rPr>
          <w:i/>
          <w:sz w:val="22"/>
          <w:lang w:val="en-GB" w:eastAsia="en-GB"/>
        </w:rPr>
        <w:t>)</w:t>
      </w:r>
      <w:r w:rsidR="00215B41">
        <w:rPr>
          <w:i/>
          <w:sz w:val="22"/>
          <w:lang w:val="en-GB" w:eastAsia="en-GB"/>
        </w:rPr>
        <w:t>.</w:t>
      </w:r>
    </w:p>
    <w:p w14:paraId="4581194F" w14:textId="77777777" w:rsidR="0031471E" w:rsidRPr="00512BE3" w:rsidRDefault="002945F4" w:rsidP="0031471E">
      <w:pPr>
        <w:rPr>
          <w:b/>
          <w:i/>
          <w:sz w:val="22"/>
          <w:szCs w:val="27"/>
          <w:lang w:val="en-GB" w:eastAsia="en-GB"/>
        </w:rPr>
      </w:pPr>
      <w:r w:rsidRPr="00512BE3">
        <w:rPr>
          <w:b/>
          <w:i/>
          <w:sz w:val="22"/>
          <w:szCs w:val="27"/>
          <w:lang w:val="en-GB" w:eastAsia="en-GB"/>
        </w:rPr>
        <w:t>Tabela 1</w:t>
      </w:r>
      <w:r w:rsidR="007D061D" w:rsidRPr="00512BE3">
        <w:rPr>
          <w:b/>
          <w:i/>
          <w:sz w:val="22"/>
          <w:szCs w:val="27"/>
          <w:lang w:val="en-GB" w:eastAsia="en-GB"/>
        </w:rPr>
        <w:t>3</w:t>
      </w:r>
      <w:r w:rsidR="00FA4A68" w:rsidRPr="00512BE3">
        <w:rPr>
          <w:b/>
          <w:i/>
          <w:sz w:val="22"/>
          <w:szCs w:val="27"/>
          <w:lang w:val="en-GB" w:eastAsia="en-GB"/>
        </w:rPr>
        <w:t>:</w:t>
      </w:r>
      <w:r w:rsidR="000B703C" w:rsidRPr="00512BE3">
        <w:rPr>
          <w:b/>
          <w:i/>
          <w:sz w:val="22"/>
          <w:szCs w:val="27"/>
          <w:lang w:val="en-GB" w:eastAsia="en-GB"/>
        </w:rPr>
        <w:t>Pregled aktivnosti u ob</w:t>
      </w:r>
      <w:r w:rsidR="00F42AE8" w:rsidRPr="00512BE3">
        <w:rPr>
          <w:b/>
          <w:i/>
          <w:sz w:val="22"/>
          <w:szCs w:val="27"/>
          <w:lang w:val="en-GB" w:eastAsia="en-GB"/>
        </w:rPr>
        <w:t>l</w:t>
      </w:r>
      <w:r w:rsidR="000B703C" w:rsidRPr="00512BE3">
        <w:rPr>
          <w:b/>
          <w:i/>
          <w:sz w:val="22"/>
          <w:szCs w:val="27"/>
          <w:lang w:val="en-GB" w:eastAsia="en-GB"/>
        </w:rPr>
        <w:t>asti suzbijanja kri</w:t>
      </w:r>
      <w:r w:rsidR="00272474" w:rsidRPr="00512BE3">
        <w:rPr>
          <w:b/>
          <w:i/>
          <w:sz w:val="22"/>
          <w:szCs w:val="27"/>
          <w:lang w:val="en-GB" w:eastAsia="en-GB"/>
        </w:rPr>
        <w:t>vičnih d</w:t>
      </w:r>
      <w:r w:rsidR="00F42AE8" w:rsidRPr="00512BE3">
        <w:rPr>
          <w:b/>
          <w:i/>
          <w:sz w:val="22"/>
          <w:szCs w:val="27"/>
          <w:lang w:val="en-GB" w:eastAsia="en-GB"/>
        </w:rPr>
        <w:t>jela i prekršaja u 202</w:t>
      </w:r>
      <w:r w:rsidR="00744EA9" w:rsidRPr="00512BE3">
        <w:rPr>
          <w:b/>
          <w:i/>
          <w:sz w:val="22"/>
          <w:szCs w:val="27"/>
          <w:lang w:val="en-GB" w:eastAsia="en-GB"/>
        </w:rPr>
        <w:t>2</w:t>
      </w:r>
      <w:r w:rsidR="000B703C" w:rsidRPr="00512BE3">
        <w:rPr>
          <w:b/>
          <w:i/>
          <w:sz w:val="22"/>
          <w:szCs w:val="27"/>
          <w:lang w:val="en-GB" w:eastAsia="en-GB"/>
        </w:rPr>
        <w:t>. godini</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514"/>
        <w:gridCol w:w="1061"/>
        <w:gridCol w:w="1105"/>
        <w:gridCol w:w="1046"/>
      </w:tblGrid>
      <w:tr w:rsidR="00BC7932" w:rsidRPr="00512BE3" w14:paraId="4C0A75D2" w14:textId="77777777" w:rsidTr="00BC7932">
        <w:trPr>
          <w:trHeight w:val="272"/>
          <w:jc w:val="center"/>
        </w:trPr>
        <w:tc>
          <w:tcPr>
            <w:tcW w:w="3411" w:type="dxa"/>
            <w:vMerge w:val="restart"/>
            <w:shd w:val="clear" w:color="000000" w:fill="BDD7EE"/>
            <w:vAlign w:val="center"/>
            <w:hideMark/>
          </w:tcPr>
          <w:p w14:paraId="04B4B342" w14:textId="77777777" w:rsidR="00BC7932" w:rsidRPr="00512BE3" w:rsidRDefault="00BC7932" w:rsidP="00BC7932">
            <w:pPr>
              <w:jc w:val="center"/>
              <w:rPr>
                <w:b/>
                <w:bCs/>
                <w:lang w:val="bs-Latn-BA" w:eastAsia="bs-Latn-BA"/>
              </w:rPr>
            </w:pPr>
            <w:bookmarkStart w:id="29" w:name="table02"/>
            <w:bookmarkEnd w:id="29"/>
            <w:r w:rsidRPr="00512BE3">
              <w:rPr>
                <w:b/>
                <w:bCs/>
                <w:lang w:val="bs-Latn-BA" w:eastAsia="bs-Latn-BA"/>
              </w:rPr>
              <w:t>Aktivnosti</w:t>
            </w:r>
          </w:p>
        </w:tc>
        <w:tc>
          <w:tcPr>
            <w:tcW w:w="4573" w:type="dxa"/>
            <w:gridSpan w:val="3"/>
            <w:shd w:val="clear" w:color="000000" w:fill="BDD7EE"/>
            <w:vAlign w:val="center"/>
            <w:hideMark/>
          </w:tcPr>
          <w:p w14:paraId="234DB05D" w14:textId="77777777" w:rsidR="00BC7932" w:rsidRPr="00512BE3" w:rsidRDefault="00BC7932" w:rsidP="00BC7932">
            <w:pPr>
              <w:jc w:val="center"/>
              <w:rPr>
                <w:b/>
                <w:bCs/>
                <w:lang w:val="bs-Latn-BA" w:eastAsia="bs-Latn-BA"/>
              </w:rPr>
            </w:pPr>
            <w:r w:rsidRPr="00512BE3">
              <w:rPr>
                <w:b/>
                <w:bCs/>
                <w:lang w:val="bs-Latn-BA" w:eastAsia="bs-Latn-BA"/>
              </w:rPr>
              <w:t>Pokazatelji</w:t>
            </w:r>
          </w:p>
        </w:tc>
        <w:tc>
          <w:tcPr>
            <w:tcW w:w="1045" w:type="dxa"/>
            <w:vMerge w:val="restart"/>
            <w:shd w:val="clear" w:color="000000" w:fill="BDD7EE"/>
            <w:vAlign w:val="center"/>
            <w:hideMark/>
          </w:tcPr>
          <w:p w14:paraId="76739AE7" w14:textId="77777777" w:rsidR="00BC7932" w:rsidRPr="00512BE3" w:rsidRDefault="00BC7932" w:rsidP="00BC7932">
            <w:pPr>
              <w:jc w:val="center"/>
              <w:rPr>
                <w:b/>
                <w:bCs/>
                <w:sz w:val="20"/>
                <w:szCs w:val="20"/>
                <w:lang w:val="bs-Latn-BA" w:eastAsia="bs-Latn-BA"/>
              </w:rPr>
            </w:pPr>
            <w:r w:rsidRPr="00512BE3">
              <w:rPr>
                <w:b/>
                <w:bCs/>
                <w:sz w:val="20"/>
                <w:szCs w:val="20"/>
                <w:lang w:val="bs-Latn-BA" w:eastAsia="bs-Latn-BA"/>
              </w:rPr>
              <w:t>Procenat pada ili rasta +/-</w:t>
            </w:r>
          </w:p>
        </w:tc>
      </w:tr>
      <w:tr w:rsidR="00BC7932" w:rsidRPr="00512BE3" w14:paraId="009BD510" w14:textId="77777777" w:rsidTr="00BC7932">
        <w:trPr>
          <w:trHeight w:val="329"/>
          <w:jc w:val="center"/>
        </w:trPr>
        <w:tc>
          <w:tcPr>
            <w:tcW w:w="3411" w:type="dxa"/>
            <w:vMerge/>
            <w:vAlign w:val="center"/>
            <w:hideMark/>
          </w:tcPr>
          <w:p w14:paraId="4856D454" w14:textId="77777777" w:rsidR="00BC7932" w:rsidRPr="00512BE3" w:rsidRDefault="00BC7932" w:rsidP="00BC7932">
            <w:pPr>
              <w:rPr>
                <w:b/>
                <w:bCs/>
                <w:sz w:val="20"/>
                <w:szCs w:val="20"/>
                <w:lang w:val="bs-Latn-BA" w:eastAsia="bs-Latn-BA"/>
              </w:rPr>
            </w:pPr>
          </w:p>
        </w:tc>
        <w:tc>
          <w:tcPr>
            <w:tcW w:w="2576" w:type="dxa"/>
            <w:vMerge w:val="restart"/>
            <w:shd w:val="clear" w:color="000000" w:fill="BDD7EE"/>
            <w:vAlign w:val="center"/>
            <w:hideMark/>
          </w:tcPr>
          <w:p w14:paraId="461C6897" w14:textId="77777777" w:rsidR="00BC7932" w:rsidRPr="00512BE3" w:rsidRDefault="00BC7932" w:rsidP="00BC7932">
            <w:pPr>
              <w:jc w:val="center"/>
              <w:rPr>
                <w:b/>
                <w:bCs/>
                <w:sz w:val="20"/>
                <w:szCs w:val="20"/>
                <w:lang w:val="bs-Latn-BA" w:eastAsia="bs-Latn-BA"/>
              </w:rPr>
            </w:pPr>
            <w:r w:rsidRPr="00512BE3">
              <w:rPr>
                <w:b/>
                <w:bCs/>
                <w:sz w:val="20"/>
                <w:szCs w:val="20"/>
                <w:lang w:val="bs-Latn-BA" w:eastAsia="bs-Latn-BA"/>
              </w:rPr>
              <w:t>Pokazatelj rezultata</w:t>
            </w:r>
          </w:p>
        </w:tc>
        <w:tc>
          <w:tcPr>
            <w:tcW w:w="978" w:type="dxa"/>
            <w:shd w:val="clear" w:color="000000" w:fill="BDD7EE"/>
            <w:vAlign w:val="center"/>
            <w:hideMark/>
          </w:tcPr>
          <w:p w14:paraId="4AE54D09" w14:textId="77777777" w:rsidR="00BC7932" w:rsidRPr="00512BE3" w:rsidRDefault="00BC7932" w:rsidP="00BC7932">
            <w:pPr>
              <w:jc w:val="center"/>
              <w:rPr>
                <w:b/>
                <w:bCs/>
                <w:sz w:val="20"/>
                <w:szCs w:val="20"/>
                <w:lang w:val="bs-Latn-BA" w:eastAsia="bs-Latn-BA"/>
              </w:rPr>
            </w:pPr>
            <w:r w:rsidRPr="00512BE3">
              <w:rPr>
                <w:b/>
                <w:bCs/>
                <w:sz w:val="20"/>
                <w:szCs w:val="20"/>
                <w:lang w:val="bs-Latn-BA" w:eastAsia="bs-Latn-BA"/>
              </w:rPr>
              <w:t xml:space="preserve">Planirano </w:t>
            </w:r>
          </w:p>
        </w:tc>
        <w:tc>
          <w:tcPr>
            <w:tcW w:w="1018" w:type="dxa"/>
            <w:shd w:val="clear" w:color="000000" w:fill="BDD7EE"/>
            <w:vAlign w:val="center"/>
            <w:hideMark/>
          </w:tcPr>
          <w:p w14:paraId="59C9267D" w14:textId="77777777" w:rsidR="00BC7932" w:rsidRPr="00512BE3" w:rsidRDefault="00BC7932" w:rsidP="00BC7932">
            <w:pPr>
              <w:jc w:val="center"/>
              <w:rPr>
                <w:b/>
                <w:bCs/>
                <w:sz w:val="20"/>
                <w:szCs w:val="20"/>
                <w:lang w:val="bs-Latn-BA" w:eastAsia="bs-Latn-BA"/>
              </w:rPr>
            </w:pPr>
            <w:r w:rsidRPr="00512BE3">
              <w:rPr>
                <w:b/>
                <w:bCs/>
                <w:sz w:val="20"/>
                <w:szCs w:val="20"/>
                <w:lang w:val="bs-Latn-BA" w:eastAsia="bs-Latn-BA"/>
              </w:rPr>
              <w:t xml:space="preserve">Ostvareno </w:t>
            </w:r>
          </w:p>
        </w:tc>
        <w:tc>
          <w:tcPr>
            <w:tcW w:w="1045" w:type="dxa"/>
            <w:vMerge/>
            <w:vAlign w:val="center"/>
            <w:hideMark/>
          </w:tcPr>
          <w:p w14:paraId="14D6698C" w14:textId="77777777" w:rsidR="00BC7932" w:rsidRPr="00512BE3" w:rsidRDefault="00BC7932" w:rsidP="00BC7932">
            <w:pPr>
              <w:rPr>
                <w:b/>
                <w:bCs/>
                <w:sz w:val="20"/>
                <w:szCs w:val="20"/>
                <w:lang w:val="bs-Latn-BA" w:eastAsia="bs-Latn-BA"/>
              </w:rPr>
            </w:pPr>
          </w:p>
        </w:tc>
      </w:tr>
      <w:tr w:rsidR="00BC7932" w:rsidRPr="00512BE3" w14:paraId="35340E6C" w14:textId="77777777" w:rsidTr="00BC7932">
        <w:trPr>
          <w:trHeight w:val="133"/>
          <w:jc w:val="center"/>
        </w:trPr>
        <w:tc>
          <w:tcPr>
            <w:tcW w:w="3411" w:type="dxa"/>
            <w:vMerge/>
            <w:vAlign w:val="center"/>
            <w:hideMark/>
          </w:tcPr>
          <w:p w14:paraId="754978F0" w14:textId="77777777" w:rsidR="00BC7932" w:rsidRPr="00512BE3" w:rsidRDefault="00BC7932" w:rsidP="00BC7932">
            <w:pPr>
              <w:rPr>
                <w:b/>
                <w:bCs/>
                <w:sz w:val="20"/>
                <w:szCs w:val="20"/>
                <w:lang w:val="bs-Latn-BA" w:eastAsia="bs-Latn-BA"/>
              </w:rPr>
            </w:pPr>
          </w:p>
        </w:tc>
        <w:tc>
          <w:tcPr>
            <w:tcW w:w="2576" w:type="dxa"/>
            <w:vMerge/>
            <w:vAlign w:val="center"/>
            <w:hideMark/>
          </w:tcPr>
          <w:p w14:paraId="1EB17CE3" w14:textId="77777777" w:rsidR="00BC7932" w:rsidRPr="00512BE3" w:rsidRDefault="00BC7932" w:rsidP="00BC7932">
            <w:pPr>
              <w:jc w:val="center"/>
              <w:rPr>
                <w:b/>
                <w:bCs/>
                <w:sz w:val="20"/>
                <w:szCs w:val="20"/>
                <w:lang w:val="bs-Latn-BA" w:eastAsia="bs-Latn-BA"/>
              </w:rPr>
            </w:pPr>
          </w:p>
        </w:tc>
        <w:tc>
          <w:tcPr>
            <w:tcW w:w="978" w:type="dxa"/>
            <w:shd w:val="clear" w:color="000000" w:fill="BDD7EE"/>
            <w:vAlign w:val="center"/>
            <w:hideMark/>
          </w:tcPr>
          <w:p w14:paraId="1A10CC7C" w14:textId="77777777" w:rsidR="00BC7932" w:rsidRPr="00512BE3" w:rsidRDefault="00BC7932" w:rsidP="00BC7932">
            <w:pPr>
              <w:jc w:val="center"/>
              <w:rPr>
                <w:b/>
                <w:bCs/>
                <w:sz w:val="20"/>
                <w:szCs w:val="20"/>
                <w:lang w:val="bs-Latn-BA" w:eastAsia="bs-Latn-BA"/>
              </w:rPr>
            </w:pPr>
            <w:r w:rsidRPr="00512BE3">
              <w:rPr>
                <w:b/>
                <w:bCs/>
                <w:sz w:val="20"/>
                <w:szCs w:val="20"/>
                <w:lang w:val="bs-Latn-BA" w:eastAsia="bs-Latn-BA"/>
              </w:rPr>
              <w:t>2022</w:t>
            </w:r>
          </w:p>
        </w:tc>
        <w:tc>
          <w:tcPr>
            <w:tcW w:w="1018" w:type="dxa"/>
            <w:shd w:val="clear" w:color="000000" w:fill="BDD7EE"/>
            <w:vAlign w:val="center"/>
            <w:hideMark/>
          </w:tcPr>
          <w:p w14:paraId="1181777C" w14:textId="77777777" w:rsidR="00BC7932" w:rsidRPr="00512BE3" w:rsidRDefault="00BC7932" w:rsidP="00BC7932">
            <w:pPr>
              <w:jc w:val="center"/>
              <w:rPr>
                <w:b/>
                <w:bCs/>
                <w:sz w:val="20"/>
                <w:szCs w:val="20"/>
                <w:lang w:val="bs-Latn-BA" w:eastAsia="bs-Latn-BA"/>
              </w:rPr>
            </w:pPr>
            <w:r w:rsidRPr="00512BE3">
              <w:rPr>
                <w:b/>
                <w:bCs/>
                <w:sz w:val="20"/>
                <w:szCs w:val="20"/>
                <w:lang w:val="bs-Latn-BA" w:eastAsia="bs-Latn-BA"/>
              </w:rPr>
              <w:t>2022</w:t>
            </w:r>
          </w:p>
        </w:tc>
        <w:tc>
          <w:tcPr>
            <w:tcW w:w="1045" w:type="dxa"/>
            <w:vMerge/>
            <w:vAlign w:val="center"/>
            <w:hideMark/>
          </w:tcPr>
          <w:p w14:paraId="2ED179A2" w14:textId="77777777" w:rsidR="00BC7932" w:rsidRPr="00512BE3" w:rsidRDefault="00BC7932" w:rsidP="00BC7932">
            <w:pPr>
              <w:rPr>
                <w:b/>
                <w:bCs/>
                <w:sz w:val="20"/>
                <w:szCs w:val="20"/>
                <w:lang w:val="bs-Latn-BA" w:eastAsia="bs-Latn-BA"/>
              </w:rPr>
            </w:pPr>
          </w:p>
        </w:tc>
      </w:tr>
      <w:tr w:rsidR="00BC7932" w:rsidRPr="00512BE3" w14:paraId="4BEA714F" w14:textId="77777777" w:rsidTr="00BC7932">
        <w:trPr>
          <w:trHeight w:val="545"/>
          <w:jc w:val="center"/>
        </w:trPr>
        <w:tc>
          <w:tcPr>
            <w:tcW w:w="3411" w:type="dxa"/>
            <w:shd w:val="clear" w:color="auto" w:fill="auto"/>
            <w:vAlign w:val="center"/>
          </w:tcPr>
          <w:p w14:paraId="291A2585" w14:textId="77777777" w:rsidR="00BC7932" w:rsidRPr="00512BE3" w:rsidRDefault="00BC7932" w:rsidP="00BC7932">
            <w:pPr>
              <w:autoSpaceDE w:val="0"/>
              <w:autoSpaceDN w:val="0"/>
              <w:adjustRightInd w:val="0"/>
              <w:rPr>
                <w:sz w:val="20"/>
                <w:szCs w:val="20"/>
                <w:lang w:val="bs-Latn-BA" w:bidi="ta-IN"/>
              </w:rPr>
            </w:pPr>
            <w:r w:rsidRPr="00512BE3">
              <w:rPr>
                <w:sz w:val="20"/>
                <w:szCs w:val="20"/>
                <w:lang w:val="bs-Latn-BA" w:bidi="ta-IN"/>
              </w:rPr>
              <w:t xml:space="preserve">Otkrivanje i procesuiranje prekršaja iz oblasti indirektnog oporezivanja, s akcentom na suzbijanju nelegalnog prometa roba bez porijekla i nedozvoljenog prometa akciznih proizvoda posebno duhana i duhanskih prerađevina </w:t>
            </w:r>
          </w:p>
        </w:tc>
        <w:tc>
          <w:tcPr>
            <w:tcW w:w="2576" w:type="dxa"/>
            <w:shd w:val="clear" w:color="auto" w:fill="auto"/>
            <w:vAlign w:val="center"/>
          </w:tcPr>
          <w:p w14:paraId="6B1E2273" w14:textId="77777777" w:rsidR="00BC7932" w:rsidRPr="00512BE3" w:rsidRDefault="00BC7932" w:rsidP="00BC7932">
            <w:pPr>
              <w:jc w:val="center"/>
              <w:rPr>
                <w:sz w:val="20"/>
                <w:szCs w:val="20"/>
                <w:lang w:val="bs-Latn-BA" w:eastAsia="bs-Latn-BA"/>
              </w:rPr>
            </w:pPr>
            <w:r w:rsidRPr="00512BE3">
              <w:rPr>
                <w:sz w:val="20"/>
                <w:szCs w:val="20"/>
                <w:lang w:val="bs-Latn-BA"/>
              </w:rPr>
              <w:t>Broj otkrivenih prekršaja izvan lokacija UIO</w:t>
            </w:r>
          </w:p>
        </w:tc>
        <w:tc>
          <w:tcPr>
            <w:tcW w:w="978" w:type="dxa"/>
            <w:shd w:val="clear" w:color="auto" w:fill="auto"/>
            <w:vAlign w:val="center"/>
          </w:tcPr>
          <w:p w14:paraId="7E1C8C63" w14:textId="77777777" w:rsidR="00BC7932" w:rsidRPr="00512BE3" w:rsidRDefault="00BC7932" w:rsidP="00BC7932">
            <w:pPr>
              <w:jc w:val="center"/>
              <w:rPr>
                <w:sz w:val="20"/>
                <w:szCs w:val="20"/>
                <w:lang w:val="bs-Latn-BA" w:eastAsia="bs-Latn-BA"/>
              </w:rPr>
            </w:pPr>
            <w:r w:rsidRPr="00512BE3">
              <w:rPr>
                <w:sz w:val="20"/>
                <w:szCs w:val="20"/>
                <w:lang w:val="bs-Latn-BA" w:eastAsia="bs-Latn-BA"/>
              </w:rPr>
              <w:t>590</w:t>
            </w:r>
          </w:p>
        </w:tc>
        <w:tc>
          <w:tcPr>
            <w:tcW w:w="1018" w:type="dxa"/>
            <w:shd w:val="clear" w:color="auto" w:fill="auto"/>
            <w:vAlign w:val="center"/>
          </w:tcPr>
          <w:p w14:paraId="2842A07C" w14:textId="77777777" w:rsidR="00BC7932" w:rsidRPr="00512BE3" w:rsidRDefault="00BC7932" w:rsidP="00BC7932">
            <w:pPr>
              <w:jc w:val="center"/>
              <w:rPr>
                <w:sz w:val="20"/>
                <w:szCs w:val="20"/>
                <w:lang w:val="bs-Latn-BA" w:eastAsia="bs-Latn-BA"/>
              </w:rPr>
            </w:pPr>
            <w:r w:rsidRPr="00512BE3">
              <w:rPr>
                <w:sz w:val="20"/>
                <w:szCs w:val="20"/>
                <w:lang w:val="bs-Latn-BA" w:eastAsia="bs-Latn-BA"/>
              </w:rPr>
              <w:t>533</w:t>
            </w:r>
          </w:p>
        </w:tc>
        <w:tc>
          <w:tcPr>
            <w:tcW w:w="1045" w:type="dxa"/>
            <w:shd w:val="clear" w:color="auto" w:fill="auto"/>
            <w:noWrap/>
            <w:vAlign w:val="center"/>
          </w:tcPr>
          <w:p w14:paraId="1F138BE4" w14:textId="77777777" w:rsidR="00BC7932" w:rsidRPr="00512BE3" w:rsidRDefault="00BC7932" w:rsidP="00BC7932">
            <w:pPr>
              <w:jc w:val="center"/>
              <w:rPr>
                <w:sz w:val="20"/>
                <w:szCs w:val="20"/>
                <w:lang w:val="bs-Latn-BA" w:eastAsia="bs-Latn-BA"/>
              </w:rPr>
            </w:pPr>
            <w:r w:rsidRPr="00512BE3">
              <w:rPr>
                <w:sz w:val="20"/>
                <w:szCs w:val="20"/>
                <w:lang w:val="bs-Latn-BA" w:eastAsia="bs-Latn-BA"/>
              </w:rPr>
              <w:t>-9,66%</w:t>
            </w:r>
          </w:p>
        </w:tc>
      </w:tr>
      <w:tr w:rsidR="00BC7932" w:rsidRPr="00512BE3" w14:paraId="01AFEE2F" w14:textId="77777777" w:rsidTr="00BC7932">
        <w:trPr>
          <w:trHeight w:val="322"/>
          <w:jc w:val="center"/>
        </w:trPr>
        <w:tc>
          <w:tcPr>
            <w:tcW w:w="3411" w:type="dxa"/>
            <w:shd w:val="clear" w:color="auto" w:fill="auto"/>
            <w:vAlign w:val="center"/>
          </w:tcPr>
          <w:p w14:paraId="7C09C879" w14:textId="77777777" w:rsidR="00BC7932" w:rsidRPr="00512BE3" w:rsidRDefault="00BC7932" w:rsidP="00BC7932">
            <w:pPr>
              <w:rPr>
                <w:bCs/>
                <w:sz w:val="20"/>
                <w:szCs w:val="20"/>
                <w:lang w:val="bs-Latn-BA"/>
              </w:rPr>
            </w:pPr>
            <w:r w:rsidRPr="00512BE3">
              <w:rPr>
                <w:bCs/>
                <w:sz w:val="20"/>
                <w:szCs w:val="20"/>
                <w:lang w:val="bs-Latn-BA"/>
              </w:rPr>
              <w:t>Preduzimanje mjera i aktivnosti na otkrivanju i sprečavanju krijumčarenja i ilegalnog prekograničnog prometa roba</w:t>
            </w:r>
          </w:p>
        </w:tc>
        <w:tc>
          <w:tcPr>
            <w:tcW w:w="2576" w:type="dxa"/>
            <w:shd w:val="clear" w:color="auto" w:fill="auto"/>
            <w:vAlign w:val="center"/>
          </w:tcPr>
          <w:p w14:paraId="1E5CD5ED" w14:textId="77777777" w:rsidR="00BC7932" w:rsidRPr="00512BE3" w:rsidRDefault="00BC7932" w:rsidP="00BC7932">
            <w:pPr>
              <w:jc w:val="center"/>
              <w:rPr>
                <w:sz w:val="20"/>
                <w:szCs w:val="20"/>
                <w:lang w:val="bs-Latn-BA" w:eastAsia="bs-Latn-BA"/>
              </w:rPr>
            </w:pPr>
            <w:r w:rsidRPr="00512BE3">
              <w:rPr>
                <w:sz w:val="20"/>
                <w:szCs w:val="20"/>
                <w:lang w:val="bs-Latn-BA"/>
              </w:rPr>
              <w:t>Broj otkrivenih prekršaja na lokacijama UIO</w:t>
            </w:r>
          </w:p>
        </w:tc>
        <w:tc>
          <w:tcPr>
            <w:tcW w:w="978" w:type="dxa"/>
            <w:shd w:val="clear" w:color="auto" w:fill="auto"/>
            <w:vAlign w:val="center"/>
          </w:tcPr>
          <w:p w14:paraId="6A87A443" w14:textId="77777777" w:rsidR="00BC7932" w:rsidRPr="00512BE3" w:rsidRDefault="00BC7932" w:rsidP="00BC7932">
            <w:pPr>
              <w:jc w:val="center"/>
              <w:rPr>
                <w:sz w:val="20"/>
                <w:szCs w:val="20"/>
                <w:lang w:val="bs-Latn-BA" w:eastAsia="bs-Latn-BA"/>
              </w:rPr>
            </w:pPr>
            <w:r w:rsidRPr="00512BE3">
              <w:rPr>
                <w:sz w:val="20"/>
                <w:szCs w:val="20"/>
                <w:lang w:val="bs-Latn-BA" w:eastAsia="bs-Latn-BA"/>
              </w:rPr>
              <w:t>65</w:t>
            </w:r>
          </w:p>
        </w:tc>
        <w:tc>
          <w:tcPr>
            <w:tcW w:w="1018" w:type="dxa"/>
            <w:shd w:val="clear" w:color="auto" w:fill="auto"/>
            <w:vAlign w:val="center"/>
          </w:tcPr>
          <w:p w14:paraId="70B57CE6" w14:textId="77777777" w:rsidR="00BC7932" w:rsidRPr="00512BE3" w:rsidRDefault="00BC7932" w:rsidP="00BC7932">
            <w:pPr>
              <w:jc w:val="center"/>
              <w:rPr>
                <w:sz w:val="20"/>
                <w:szCs w:val="20"/>
                <w:lang w:val="bs-Latn-BA" w:eastAsia="bs-Latn-BA"/>
              </w:rPr>
            </w:pPr>
            <w:r w:rsidRPr="00512BE3">
              <w:rPr>
                <w:sz w:val="20"/>
                <w:szCs w:val="20"/>
                <w:lang w:val="bs-Latn-BA" w:eastAsia="bs-Latn-BA"/>
              </w:rPr>
              <w:t>95</w:t>
            </w:r>
          </w:p>
        </w:tc>
        <w:tc>
          <w:tcPr>
            <w:tcW w:w="1045" w:type="dxa"/>
            <w:shd w:val="clear" w:color="auto" w:fill="auto"/>
            <w:noWrap/>
            <w:vAlign w:val="center"/>
          </w:tcPr>
          <w:p w14:paraId="7D85663B" w14:textId="77777777" w:rsidR="00BC7932" w:rsidRPr="00512BE3" w:rsidRDefault="00BC7932" w:rsidP="00BC7932">
            <w:pPr>
              <w:jc w:val="center"/>
              <w:rPr>
                <w:sz w:val="20"/>
                <w:szCs w:val="20"/>
                <w:lang w:val="bs-Latn-BA"/>
              </w:rPr>
            </w:pPr>
            <w:r w:rsidRPr="00512BE3">
              <w:rPr>
                <w:sz w:val="20"/>
                <w:szCs w:val="20"/>
                <w:lang w:val="bs-Latn-BA"/>
              </w:rPr>
              <w:t>+46,15%</w:t>
            </w:r>
          </w:p>
        </w:tc>
      </w:tr>
      <w:tr w:rsidR="00BC7932" w:rsidRPr="00512BE3" w14:paraId="7E6BE7ED" w14:textId="77777777" w:rsidTr="00BC7932">
        <w:trPr>
          <w:trHeight w:val="322"/>
          <w:jc w:val="center"/>
        </w:trPr>
        <w:tc>
          <w:tcPr>
            <w:tcW w:w="3411" w:type="dxa"/>
            <w:shd w:val="clear" w:color="auto" w:fill="DBE5F1"/>
            <w:vAlign w:val="center"/>
          </w:tcPr>
          <w:p w14:paraId="55512138" w14:textId="77777777" w:rsidR="00BC7932" w:rsidRPr="00512BE3" w:rsidRDefault="00BC7932" w:rsidP="00BC7932">
            <w:pPr>
              <w:rPr>
                <w:b/>
                <w:sz w:val="20"/>
                <w:szCs w:val="20"/>
                <w:lang w:val="bs-Latn-BA"/>
              </w:rPr>
            </w:pPr>
            <w:r w:rsidRPr="00512BE3">
              <w:rPr>
                <w:b/>
                <w:sz w:val="20"/>
                <w:szCs w:val="20"/>
                <w:lang w:val="bs-Latn-BA"/>
              </w:rPr>
              <w:t>UKUPNO:</w:t>
            </w:r>
          </w:p>
        </w:tc>
        <w:tc>
          <w:tcPr>
            <w:tcW w:w="2576" w:type="dxa"/>
            <w:shd w:val="clear" w:color="auto" w:fill="DBE5F1"/>
            <w:vAlign w:val="center"/>
          </w:tcPr>
          <w:p w14:paraId="24743844" w14:textId="77777777" w:rsidR="00BC7932" w:rsidRPr="00512BE3" w:rsidRDefault="00BC7932" w:rsidP="00BC7932">
            <w:pPr>
              <w:jc w:val="center"/>
              <w:rPr>
                <w:sz w:val="20"/>
                <w:szCs w:val="20"/>
                <w:lang w:val="bs-Latn-BA"/>
              </w:rPr>
            </w:pPr>
            <w:r w:rsidRPr="00512BE3">
              <w:rPr>
                <w:sz w:val="20"/>
                <w:szCs w:val="20"/>
                <w:lang w:val="bs-Latn-BA"/>
              </w:rPr>
              <w:t>Broj otkrivenih prekršaja</w:t>
            </w:r>
          </w:p>
        </w:tc>
        <w:tc>
          <w:tcPr>
            <w:tcW w:w="978" w:type="dxa"/>
            <w:shd w:val="clear" w:color="auto" w:fill="DBE5F1"/>
            <w:vAlign w:val="center"/>
          </w:tcPr>
          <w:p w14:paraId="199F47CC" w14:textId="77777777" w:rsidR="00BC7932" w:rsidRPr="00512BE3" w:rsidRDefault="00BC7932" w:rsidP="00BC7932">
            <w:pPr>
              <w:jc w:val="center"/>
              <w:rPr>
                <w:sz w:val="20"/>
                <w:szCs w:val="20"/>
                <w:lang w:val="bs-Latn-BA"/>
              </w:rPr>
            </w:pPr>
            <w:r w:rsidRPr="00512BE3">
              <w:rPr>
                <w:sz w:val="20"/>
                <w:szCs w:val="20"/>
                <w:lang w:val="bs-Latn-BA"/>
              </w:rPr>
              <w:t>655</w:t>
            </w:r>
          </w:p>
        </w:tc>
        <w:tc>
          <w:tcPr>
            <w:tcW w:w="1018" w:type="dxa"/>
            <w:shd w:val="clear" w:color="auto" w:fill="DBE5F1"/>
            <w:vAlign w:val="center"/>
          </w:tcPr>
          <w:p w14:paraId="0E920E57" w14:textId="77777777" w:rsidR="00BC7932" w:rsidRPr="00512BE3" w:rsidRDefault="00BC7932" w:rsidP="00BC7932">
            <w:pPr>
              <w:jc w:val="center"/>
              <w:rPr>
                <w:sz w:val="20"/>
                <w:szCs w:val="20"/>
                <w:lang w:val="bs-Latn-BA"/>
              </w:rPr>
            </w:pPr>
            <w:r w:rsidRPr="00512BE3">
              <w:rPr>
                <w:sz w:val="20"/>
                <w:szCs w:val="20"/>
                <w:lang w:val="bs-Latn-BA"/>
              </w:rPr>
              <w:t>628</w:t>
            </w:r>
          </w:p>
        </w:tc>
        <w:tc>
          <w:tcPr>
            <w:tcW w:w="1045" w:type="dxa"/>
            <w:shd w:val="clear" w:color="auto" w:fill="DBE5F1"/>
            <w:noWrap/>
            <w:vAlign w:val="center"/>
          </w:tcPr>
          <w:p w14:paraId="143CE00C" w14:textId="77777777" w:rsidR="00BC7932" w:rsidRPr="00512BE3" w:rsidRDefault="00BC7932" w:rsidP="00BC7932">
            <w:pPr>
              <w:jc w:val="center"/>
              <w:rPr>
                <w:sz w:val="20"/>
                <w:szCs w:val="20"/>
                <w:lang w:val="bs-Latn-BA"/>
              </w:rPr>
            </w:pPr>
            <w:r w:rsidRPr="00512BE3">
              <w:rPr>
                <w:sz w:val="20"/>
                <w:szCs w:val="20"/>
                <w:lang w:val="bs-Latn-BA"/>
              </w:rPr>
              <w:t>-4,12%</w:t>
            </w:r>
          </w:p>
        </w:tc>
      </w:tr>
      <w:tr w:rsidR="00BC7932" w:rsidRPr="00512BE3" w14:paraId="52FA3737" w14:textId="77777777" w:rsidTr="00BC7932">
        <w:trPr>
          <w:trHeight w:val="330"/>
          <w:jc w:val="center"/>
        </w:trPr>
        <w:tc>
          <w:tcPr>
            <w:tcW w:w="3411" w:type="dxa"/>
            <w:shd w:val="clear" w:color="auto" w:fill="auto"/>
          </w:tcPr>
          <w:p w14:paraId="0CAD5873" w14:textId="77777777" w:rsidR="00BC7932" w:rsidRPr="00512BE3" w:rsidRDefault="00BC7932" w:rsidP="00BC7932">
            <w:pPr>
              <w:autoSpaceDE w:val="0"/>
              <w:autoSpaceDN w:val="0"/>
              <w:adjustRightInd w:val="0"/>
              <w:rPr>
                <w:b/>
                <w:bCs/>
                <w:sz w:val="20"/>
                <w:szCs w:val="20"/>
                <w:lang w:val="bs-Latn-BA" w:bidi="ta-IN"/>
              </w:rPr>
            </w:pPr>
            <w:r w:rsidRPr="00512BE3">
              <w:rPr>
                <w:bCs/>
                <w:sz w:val="20"/>
                <w:szCs w:val="20"/>
                <w:lang w:val="bs-Latn-BA" w:bidi="ta-IN"/>
              </w:rPr>
              <w:t>Obavještajno informisanje putem otvorene linije STOP-ŠVERCU</w:t>
            </w:r>
          </w:p>
        </w:tc>
        <w:tc>
          <w:tcPr>
            <w:tcW w:w="2576" w:type="dxa"/>
            <w:shd w:val="clear" w:color="auto" w:fill="auto"/>
          </w:tcPr>
          <w:p w14:paraId="7126F63C" w14:textId="77777777" w:rsidR="00BC7932" w:rsidRPr="00512BE3" w:rsidRDefault="00BC7932" w:rsidP="00BC7932">
            <w:pPr>
              <w:jc w:val="center"/>
              <w:rPr>
                <w:sz w:val="20"/>
                <w:szCs w:val="20"/>
                <w:lang w:val="bs-Latn-BA"/>
              </w:rPr>
            </w:pPr>
            <w:r w:rsidRPr="00512BE3">
              <w:rPr>
                <w:sz w:val="20"/>
                <w:szCs w:val="20"/>
                <w:lang w:val="bs-Latn-BA"/>
              </w:rPr>
              <w:t>Broj zaprimljenih informacija putem otvorene linije</w:t>
            </w:r>
          </w:p>
        </w:tc>
        <w:tc>
          <w:tcPr>
            <w:tcW w:w="978" w:type="dxa"/>
            <w:shd w:val="clear" w:color="auto" w:fill="auto"/>
            <w:vAlign w:val="center"/>
          </w:tcPr>
          <w:p w14:paraId="7EC1606B" w14:textId="77777777" w:rsidR="00BC7932" w:rsidRPr="00512BE3" w:rsidRDefault="00BC7932" w:rsidP="00BC7932">
            <w:pPr>
              <w:jc w:val="center"/>
              <w:rPr>
                <w:sz w:val="20"/>
                <w:szCs w:val="20"/>
                <w:lang w:val="bs-Latn-BA"/>
              </w:rPr>
            </w:pPr>
            <w:r w:rsidRPr="00512BE3">
              <w:rPr>
                <w:sz w:val="20"/>
                <w:szCs w:val="20"/>
                <w:lang w:val="bs-Latn-BA"/>
              </w:rPr>
              <w:t>600</w:t>
            </w:r>
          </w:p>
        </w:tc>
        <w:tc>
          <w:tcPr>
            <w:tcW w:w="1018" w:type="dxa"/>
            <w:shd w:val="clear" w:color="auto" w:fill="auto"/>
            <w:vAlign w:val="center"/>
          </w:tcPr>
          <w:p w14:paraId="5B9CD631" w14:textId="77777777" w:rsidR="00BC7932" w:rsidRPr="00512BE3" w:rsidRDefault="00BC7932" w:rsidP="00BC7932">
            <w:pPr>
              <w:jc w:val="center"/>
              <w:rPr>
                <w:sz w:val="20"/>
                <w:szCs w:val="20"/>
                <w:lang w:val="bs-Latn-BA"/>
              </w:rPr>
            </w:pPr>
            <w:r w:rsidRPr="00512BE3">
              <w:rPr>
                <w:sz w:val="20"/>
                <w:szCs w:val="20"/>
                <w:lang w:val="bs-Latn-BA"/>
              </w:rPr>
              <w:t>677</w:t>
            </w:r>
          </w:p>
        </w:tc>
        <w:tc>
          <w:tcPr>
            <w:tcW w:w="1045" w:type="dxa"/>
            <w:shd w:val="clear" w:color="auto" w:fill="auto"/>
            <w:noWrap/>
            <w:vAlign w:val="center"/>
          </w:tcPr>
          <w:p w14:paraId="2AD1F03E" w14:textId="77777777" w:rsidR="00BC7932" w:rsidRPr="00512BE3" w:rsidRDefault="00BC7932" w:rsidP="00BC7932">
            <w:pPr>
              <w:jc w:val="center"/>
              <w:rPr>
                <w:sz w:val="20"/>
                <w:szCs w:val="20"/>
                <w:lang w:val="bs-Latn-BA"/>
              </w:rPr>
            </w:pPr>
            <w:r w:rsidRPr="00512BE3">
              <w:rPr>
                <w:sz w:val="20"/>
                <w:szCs w:val="20"/>
                <w:lang w:val="bs-Latn-BA"/>
              </w:rPr>
              <w:t>+12,83%</w:t>
            </w:r>
          </w:p>
        </w:tc>
      </w:tr>
      <w:tr w:rsidR="00BC7932" w:rsidRPr="00512BE3" w14:paraId="02E0434A" w14:textId="77777777" w:rsidTr="00BC7932">
        <w:trPr>
          <w:trHeight w:val="567"/>
          <w:jc w:val="center"/>
        </w:trPr>
        <w:tc>
          <w:tcPr>
            <w:tcW w:w="3411" w:type="dxa"/>
            <w:shd w:val="clear" w:color="auto" w:fill="auto"/>
            <w:vAlign w:val="center"/>
          </w:tcPr>
          <w:p w14:paraId="642517C3" w14:textId="77777777" w:rsidR="00BC7932" w:rsidRPr="00512BE3" w:rsidRDefault="00BC7932" w:rsidP="00BC7932">
            <w:pPr>
              <w:autoSpaceDE w:val="0"/>
              <w:autoSpaceDN w:val="0"/>
              <w:adjustRightInd w:val="0"/>
              <w:rPr>
                <w:b/>
                <w:bCs/>
                <w:sz w:val="20"/>
                <w:szCs w:val="20"/>
                <w:lang w:val="bs-Latn-BA" w:bidi="ta-IN"/>
              </w:rPr>
            </w:pPr>
            <w:r w:rsidRPr="00512BE3">
              <w:rPr>
                <w:bCs/>
                <w:sz w:val="20"/>
                <w:szCs w:val="20"/>
                <w:lang w:val="bs-Latn-BA" w:bidi="ta-IN"/>
              </w:rPr>
              <w:t>Razmjene obavještajnih podataka na domaćem nivou u oblasti indirektnih poreza</w:t>
            </w:r>
          </w:p>
        </w:tc>
        <w:tc>
          <w:tcPr>
            <w:tcW w:w="2576" w:type="dxa"/>
            <w:shd w:val="clear" w:color="auto" w:fill="auto"/>
          </w:tcPr>
          <w:p w14:paraId="7E0D8B6C" w14:textId="77777777" w:rsidR="00BC7932" w:rsidRPr="00512BE3" w:rsidRDefault="00BC7932" w:rsidP="00BC7932">
            <w:pPr>
              <w:jc w:val="center"/>
              <w:rPr>
                <w:sz w:val="20"/>
                <w:szCs w:val="20"/>
                <w:lang w:val="bs-Latn-BA"/>
              </w:rPr>
            </w:pPr>
            <w:r w:rsidRPr="00512BE3">
              <w:rPr>
                <w:sz w:val="20"/>
                <w:szCs w:val="20"/>
                <w:lang w:val="bs-Latn-BA"/>
              </w:rPr>
              <w:t>Broj upućenih i zaprimljenih obavještajnih informacija na domaćem nivou</w:t>
            </w:r>
          </w:p>
        </w:tc>
        <w:tc>
          <w:tcPr>
            <w:tcW w:w="978" w:type="dxa"/>
            <w:shd w:val="clear" w:color="auto" w:fill="auto"/>
            <w:vAlign w:val="center"/>
          </w:tcPr>
          <w:p w14:paraId="68AAAA8A" w14:textId="77777777" w:rsidR="00BC7932" w:rsidRPr="00512BE3" w:rsidRDefault="00BC7932" w:rsidP="00BC7932">
            <w:pPr>
              <w:jc w:val="center"/>
              <w:rPr>
                <w:sz w:val="20"/>
                <w:szCs w:val="20"/>
                <w:lang w:val="bs-Latn-BA"/>
              </w:rPr>
            </w:pPr>
            <w:r w:rsidRPr="00512BE3">
              <w:rPr>
                <w:sz w:val="20"/>
                <w:szCs w:val="20"/>
                <w:lang w:val="bs-Latn-BA"/>
              </w:rPr>
              <w:t>100</w:t>
            </w:r>
          </w:p>
        </w:tc>
        <w:tc>
          <w:tcPr>
            <w:tcW w:w="1018" w:type="dxa"/>
            <w:shd w:val="clear" w:color="auto" w:fill="auto"/>
            <w:vAlign w:val="center"/>
          </w:tcPr>
          <w:p w14:paraId="765D5728" w14:textId="77777777" w:rsidR="00BC7932" w:rsidRPr="00512BE3" w:rsidRDefault="00BC7932" w:rsidP="00BC7932">
            <w:pPr>
              <w:jc w:val="center"/>
              <w:rPr>
                <w:sz w:val="20"/>
                <w:szCs w:val="20"/>
                <w:lang w:val="bs-Latn-BA"/>
              </w:rPr>
            </w:pPr>
            <w:r w:rsidRPr="00512BE3">
              <w:rPr>
                <w:sz w:val="20"/>
                <w:szCs w:val="20"/>
                <w:lang w:val="bs-Latn-BA"/>
              </w:rPr>
              <w:t>110</w:t>
            </w:r>
          </w:p>
        </w:tc>
        <w:tc>
          <w:tcPr>
            <w:tcW w:w="1045" w:type="dxa"/>
            <w:shd w:val="clear" w:color="auto" w:fill="auto"/>
            <w:noWrap/>
            <w:vAlign w:val="center"/>
          </w:tcPr>
          <w:p w14:paraId="75E5905D" w14:textId="77777777" w:rsidR="00BC7932" w:rsidRPr="00512BE3" w:rsidRDefault="00BC7932" w:rsidP="00BC7932">
            <w:pPr>
              <w:jc w:val="center"/>
              <w:rPr>
                <w:sz w:val="20"/>
                <w:szCs w:val="20"/>
                <w:lang w:val="bs-Latn-BA"/>
              </w:rPr>
            </w:pPr>
            <w:r w:rsidRPr="00512BE3">
              <w:rPr>
                <w:sz w:val="20"/>
                <w:szCs w:val="20"/>
                <w:lang w:val="bs-Latn-BA"/>
              </w:rPr>
              <w:t>+10%</w:t>
            </w:r>
          </w:p>
        </w:tc>
      </w:tr>
      <w:tr w:rsidR="00BC7932" w:rsidRPr="00512BE3" w14:paraId="69EFA01B" w14:textId="77777777" w:rsidTr="00BC7932">
        <w:trPr>
          <w:trHeight w:val="730"/>
          <w:jc w:val="center"/>
        </w:trPr>
        <w:tc>
          <w:tcPr>
            <w:tcW w:w="3411" w:type="dxa"/>
            <w:shd w:val="clear" w:color="auto" w:fill="auto"/>
            <w:vAlign w:val="center"/>
          </w:tcPr>
          <w:p w14:paraId="708218F7" w14:textId="77777777" w:rsidR="00BC7932" w:rsidRPr="00512BE3" w:rsidRDefault="00BC7932" w:rsidP="00BC7932">
            <w:pPr>
              <w:autoSpaceDE w:val="0"/>
              <w:autoSpaceDN w:val="0"/>
              <w:adjustRightInd w:val="0"/>
              <w:rPr>
                <w:bCs/>
                <w:sz w:val="20"/>
                <w:szCs w:val="20"/>
                <w:lang w:val="bs-Latn-BA" w:bidi="ta-IN"/>
              </w:rPr>
            </w:pPr>
            <w:r w:rsidRPr="00512BE3">
              <w:rPr>
                <w:bCs/>
                <w:sz w:val="20"/>
                <w:szCs w:val="20"/>
                <w:lang w:val="bs-Latn-BA" w:bidi="ta-IN"/>
              </w:rPr>
              <w:t>Razmjene obavještajnih podataka na međunarodnom nivou u oblasti indirektnih poreza</w:t>
            </w:r>
          </w:p>
        </w:tc>
        <w:tc>
          <w:tcPr>
            <w:tcW w:w="2576" w:type="dxa"/>
            <w:shd w:val="clear" w:color="auto" w:fill="auto"/>
          </w:tcPr>
          <w:p w14:paraId="4A04A695" w14:textId="77777777" w:rsidR="00BC7932" w:rsidRPr="00512BE3" w:rsidRDefault="00BC7932" w:rsidP="00BC7932">
            <w:pPr>
              <w:jc w:val="center"/>
              <w:rPr>
                <w:sz w:val="20"/>
                <w:szCs w:val="20"/>
                <w:lang w:val="bs-Latn-BA"/>
              </w:rPr>
            </w:pPr>
            <w:r w:rsidRPr="00512BE3">
              <w:rPr>
                <w:sz w:val="20"/>
                <w:szCs w:val="20"/>
                <w:lang w:val="bs-Latn-BA"/>
              </w:rPr>
              <w:t>Broj upućenih i zaprimljenih zahtjeva na međunarodnom nivou</w:t>
            </w:r>
          </w:p>
        </w:tc>
        <w:tc>
          <w:tcPr>
            <w:tcW w:w="978" w:type="dxa"/>
            <w:shd w:val="clear" w:color="auto" w:fill="auto"/>
            <w:vAlign w:val="center"/>
          </w:tcPr>
          <w:p w14:paraId="2F776D6F" w14:textId="77777777" w:rsidR="00BC7932" w:rsidRPr="00512BE3" w:rsidRDefault="00BC7932" w:rsidP="00BC7932">
            <w:pPr>
              <w:jc w:val="center"/>
              <w:rPr>
                <w:sz w:val="20"/>
                <w:szCs w:val="20"/>
                <w:lang w:val="bs-Latn-BA"/>
              </w:rPr>
            </w:pPr>
            <w:r w:rsidRPr="00512BE3">
              <w:rPr>
                <w:sz w:val="20"/>
                <w:szCs w:val="20"/>
                <w:lang w:val="bs-Latn-BA"/>
              </w:rPr>
              <w:t>30</w:t>
            </w:r>
          </w:p>
        </w:tc>
        <w:tc>
          <w:tcPr>
            <w:tcW w:w="1018" w:type="dxa"/>
            <w:shd w:val="clear" w:color="auto" w:fill="auto"/>
            <w:vAlign w:val="center"/>
          </w:tcPr>
          <w:p w14:paraId="13AE03DC" w14:textId="77777777" w:rsidR="00BC7932" w:rsidRPr="00512BE3" w:rsidRDefault="00BC7932" w:rsidP="00BC7932">
            <w:pPr>
              <w:jc w:val="center"/>
              <w:rPr>
                <w:sz w:val="20"/>
                <w:szCs w:val="20"/>
                <w:lang w:val="bs-Latn-BA"/>
              </w:rPr>
            </w:pPr>
            <w:r w:rsidRPr="00512BE3">
              <w:rPr>
                <w:sz w:val="20"/>
                <w:szCs w:val="20"/>
                <w:lang w:val="bs-Latn-BA"/>
              </w:rPr>
              <w:t>71</w:t>
            </w:r>
          </w:p>
        </w:tc>
        <w:tc>
          <w:tcPr>
            <w:tcW w:w="1045" w:type="dxa"/>
            <w:shd w:val="clear" w:color="auto" w:fill="auto"/>
            <w:noWrap/>
            <w:vAlign w:val="center"/>
          </w:tcPr>
          <w:p w14:paraId="15D6BBCF" w14:textId="77777777" w:rsidR="00BC7932" w:rsidRPr="00512BE3" w:rsidRDefault="00BC7932" w:rsidP="00BC7932">
            <w:pPr>
              <w:jc w:val="center"/>
              <w:rPr>
                <w:sz w:val="20"/>
                <w:szCs w:val="20"/>
                <w:lang w:val="bs-Latn-BA"/>
              </w:rPr>
            </w:pPr>
            <w:r w:rsidRPr="00512BE3">
              <w:rPr>
                <w:sz w:val="20"/>
                <w:szCs w:val="20"/>
                <w:lang w:val="bs-Latn-BA"/>
              </w:rPr>
              <w:t>+136,67%</w:t>
            </w:r>
          </w:p>
        </w:tc>
      </w:tr>
      <w:tr w:rsidR="00BC7932" w:rsidRPr="00512BE3" w14:paraId="146E9295" w14:textId="77777777" w:rsidTr="00BC7932">
        <w:trPr>
          <w:trHeight w:val="396"/>
          <w:jc w:val="center"/>
        </w:trPr>
        <w:tc>
          <w:tcPr>
            <w:tcW w:w="3411" w:type="dxa"/>
            <w:shd w:val="clear" w:color="auto" w:fill="auto"/>
            <w:vAlign w:val="center"/>
          </w:tcPr>
          <w:p w14:paraId="28DE1695" w14:textId="77777777" w:rsidR="00BC7932" w:rsidRPr="00512BE3" w:rsidRDefault="00BC7932" w:rsidP="00BC7932">
            <w:pPr>
              <w:autoSpaceDE w:val="0"/>
              <w:autoSpaceDN w:val="0"/>
              <w:adjustRightInd w:val="0"/>
              <w:rPr>
                <w:b/>
                <w:bCs/>
                <w:sz w:val="20"/>
                <w:szCs w:val="20"/>
                <w:lang w:val="bs-Latn-BA" w:bidi="ta-IN"/>
              </w:rPr>
            </w:pPr>
            <w:r w:rsidRPr="00512BE3">
              <w:rPr>
                <w:bCs/>
                <w:sz w:val="20"/>
                <w:szCs w:val="20"/>
                <w:lang w:val="bs-Latn-BA" w:bidi="ta-IN"/>
              </w:rPr>
              <w:t>Razmjene podataka sa Interpol-om i Europol-om</w:t>
            </w:r>
          </w:p>
        </w:tc>
        <w:tc>
          <w:tcPr>
            <w:tcW w:w="2576" w:type="dxa"/>
            <w:shd w:val="clear" w:color="auto" w:fill="auto"/>
          </w:tcPr>
          <w:p w14:paraId="6B1525BF" w14:textId="77777777" w:rsidR="00BC7932" w:rsidRPr="00512BE3" w:rsidRDefault="00BC7932" w:rsidP="00BC7932">
            <w:pPr>
              <w:jc w:val="center"/>
              <w:rPr>
                <w:sz w:val="20"/>
                <w:szCs w:val="20"/>
                <w:lang w:val="bs-Latn-BA"/>
              </w:rPr>
            </w:pPr>
            <w:r w:rsidRPr="00512BE3">
              <w:rPr>
                <w:sz w:val="20"/>
                <w:szCs w:val="20"/>
                <w:lang w:val="bs-Latn-BA"/>
              </w:rPr>
              <w:t>Broj zaprimljenih informacija od strane Europol-a i Interpol-a putem zaštićene linije</w:t>
            </w:r>
          </w:p>
        </w:tc>
        <w:tc>
          <w:tcPr>
            <w:tcW w:w="978" w:type="dxa"/>
            <w:shd w:val="clear" w:color="auto" w:fill="auto"/>
            <w:vAlign w:val="center"/>
          </w:tcPr>
          <w:p w14:paraId="25560580" w14:textId="77777777" w:rsidR="00BC7932" w:rsidRPr="00512BE3" w:rsidRDefault="00BC7932" w:rsidP="00BC7932">
            <w:pPr>
              <w:jc w:val="center"/>
              <w:rPr>
                <w:sz w:val="20"/>
                <w:szCs w:val="20"/>
                <w:lang w:val="bs-Latn-BA"/>
              </w:rPr>
            </w:pPr>
            <w:r w:rsidRPr="00512BE3">
              <w:rPr>
                <w:sz w:val="20"/>
                <w:szCs w:val="20"/>
                <w:lang w:val="bs-Latn-BA"/>
              </w:rPr>
              <w:t>150</w:t>
            </w:r>
          </w:p>
        </w:tc>
        <w:tc>
          <w:tcPr>
            <w:tcW w:w="1018" w:type="dxa"/>
            <w:shd w:val="clear" w:color="auto" w:fill="auto"/>
            <w:vAlign w:val="center"/>
          </w:tcPr>
          <w:p w14:paraId="701DD5BD" w14:textId="77777777" w:rsidR="00BC7932" w:rsidRPr="00512BE3" w:rsidRDefault="00BC7932" w:rsidP="00BC7932">
            <w:pPr>
              <w:jc w:val="center"/>
              <w:rPr>
                <w:sz w:val="20"/>
                <w:szCs w:val="20"/>
                <w:lang w:val="bs-Latn-BA"/>
              </w:rPr>
            </w:pPr>
            <w:r w:rsidRPr="00512BE3">
              <w:rPr>
                <w:sz w:val="20"/>
                <w:szCs w:val="20"/>
                <w:lang w:val="bs-Latn-BA"/>
              </w:rPr>
              <w:t>228</w:t>
            </w:r>
          </w:p>
        </w:tc>
        <w:tc>
          <w:tcPr>
            <w:tcW w:w="1045" w:type="dxa"/>
            <w:shd w:val="clear" w:color="auto" w:fill="auto"/>
            <w:noWrap/>
            <w:vAlign w:val="center"/>
          </w:tcPr>
          <w:p w14:paraId="439DB67C" w14:textId="77777777" w:rsidR="00BC7932" w:rsidRPr="00512BE3" w:rsidRDefault="00BC7932" w:rsidP="00BC7932">
            <w:pPr>
              <w:jc w:val="center"/>
              <w:rPr>
                <w:sz w:val="20"/>
                <w:szCs w:val="20"/>
                <w:lang w:val="bs-Latn-BA"/>
              </w:rPr>
            </w:pPr>
            <w:r w:rsidRPr="00512BE3">
              <w:rPr>
                <w:sz w:val="20"/>
                <w:szCs w:val="20"/>
                <w:lang w:val="bs-Latn-BA"/>
              </w:rPr>
              <w:t>+52%</w:t>
            </w:r>
          </w:p>
        </w:tc>
      </w:tr>
      <w:tr w:rsidR="00BC7932" w:rsidRPr="00512BE3" w14:paraId="207B965B" w14:textId="77777777" w:rsidTr="00BC7932">
        <w:trPr>
          <w:trHeight w:val="653"/>
          <w:jc w:val="center"/>
        </w:trPr>
        <w:tc>
          <w:tcPr>
            <w:tcW w:w="3411" w:type="dxa"/>
            <w:shd w:val="clear" w:color="auto" w:fill="auto"/>
            <w:vAlign w:val="center"/>
          </w:tcPr>
          <w:p w14:paraId="70FA284E" w14:textId="77777777" w:rsidR="00BC7932" w:rsidRPr="00512BE3" w:rsidRDefault="00BC7932" w:rsidP="00BC7932">
            <w:pPr>
              <w:autoSpaceDE w:val="0"/>
              <w:autoSpaceDN w:val="0"/>
              <w:adjustRightInd w:val="0"/>
              <w:rPr>
                <w:bCs/>
                <w:sz w:val="20"/>
                <w:szCs w:val="20"/>
                <w:lang w:val="bs-Latn-BA" w:bidi="ta-IN"/>
              </w:rPr>
            </w:pPr>
            <w:r w:rsidRPr="00512BE3">
              <w:rPr>
                <w:bCs/>
                <w:sz w:val="20"/>
                <w:szCs w:val="20"/>
                <w:lang w:val="bs-Latn-BA" w:bidi="ta-IN"/>
              </w:rPr>
              <w:t xml:space="preserve">Učešće u međunarodnim operativnim akcijama </w:t>
            </w:r>
          </w:p>
        </w:tc>
        <w:tc>
          <w:tcPr>
            <w:tcW w:w="2576" w:type="dxa"/>
            <w:shd w:val="clear" w:color="auto" w:fill="auto"/>
            <w:vAlign w:val="center"/>
          </w:tcPr>
          <w:p w14:paraId="47E931CB" w14:textId="77777777" w:rsidR="00BC7932" w:rsidRPr="00512BE3" w:rsidRDefault="00BC7932" w:rsidP="00BC7932">
            <w:pPr>
              <w:jc w:val="center"/>
              <w:rPr>
                <w:sz w:val="20"/>
                <w:szCs w:val="20"/>
                <w:lang w:val="bs-Latn-BA"/>
              </w:rPr>
            </w:pPr>
            <w:r w:rsidRPr="00512BE3">
              <w:rPr>
                <w:sz w:val="20"/>
                <w:szCs w:val="20"/>
                <w:lang w:val="bs-Latn-BA"/>
              </w:rPr>
              <w:t>Broj realizovanih operativnih akcija na međunarodnom nivou</w:t>
            </w:r>
          </w:p>
        </w:tc>
        <w:tc>
          <w:tcPr>
            <w:tcW w:w="978" w:type="dxa"/>
            <w:shd w:val="clear" w:color="auto" w:fill="auto"/>
            <w:vAlign w:val="center"/>
          </w:tcPr>
          <w:p w14:paraId="58282385" w14:textId="77777777" w:rsidR="00BC7932" w:rsidRPr="00512BE3" w:rsidRDefault="00BC7932" w:rsidP="00BC7932">
            <w:pPr>
              <w:jc w:val="center"/>
              <w:rPr>
                <w:sz w:val="20"/>
                <w:szCs w:val="20"/>
                <w:lang w:val="bs-Latn-BA"/>
              </w:rPr>
            </w:pPr>
            <w:r w:rsidRPr="00512BE3">
              <w:rPr>
                <w:sz w:val="20"/>
                <w:szCs w:val="20"/>
                <w:lang w:val="bs-Latn-BA"/>
              </w:rPr>
              <w:t>17</w:t>
            </w:r>
          </w:p>
        </w:tc>
        <w:tc>
          <w:tcPr>
            <w:tcW w:w="1018" w:type="dxa"/>
            <w:shd w:val="clear" w:color="auto" w:fill="auto"/>
            <w:vAlign w:val="center"/>
          </w:tcPr>
          <w:p w14:paraId="16E778F0" w14:textId="77777777" w:rsidR="00BC7932" w:rsidRPr="00512BE3" w:rsidRDefault="00BC7932" w:rsidP="00BC7932">
            <w:pPr>
              <w:jc w:val="center"/>
              <w:rPr>
                <w:sz w:val="20"/>
                <w:szCs w:val="20"/>
                <w:lang w:val="bs-Latn-BA"/>
              </w:rPr>
            </w:pPr>
            <w:r w:rsidRPr="00512BE3">
              <w:rPr>
                <w:sz w:val="20"/>
                <w:szCs w:val="20"/>
                <w:lang w:val="bs-Latn-BA"/>
              </w:rPr>
              <w:t>13</w:t>
            </w:r>
          </w:p>
        </w:tc>
        <w:tc>
          <w:tcPr>
            <w:tcW w:w="1045" w:type="dxa"/>
            <w:shd w:val="clear" w:color="auto" w:fill="auto"/>
            <w:noWrap/>
            <w:vAlign w:val="center"/>
          </w:tcPr>
          <w:p w14:paraId="49175DF0" w14:textId="77777777" w:rsidR="00BC7932" w:rsidRPr="00512BE3" w:rsidRDefault="00BC7932" w:rsidP="00BC7932">
            <w:pPr>
              <w:jc w:val="center"/>
              <w:rPr>
                <w:sz w:val="20"/>
                <w:szCs w:val="20"/>
                <w:lang w:val="bs-Latn-BA"/>
              </w:rPr>
            </w:pPr>
            <w:r w:rsidRPr="00512BE3">
              <w:rPr>
                <w:sz w:val="20"/>
                <w:szCs w:val="20"/>
                <w:lang w:val="bs-Latn-BA"/>
              </w:rPr>
              <w:t>-23,53%</w:t>
            </w:r>
          </w:p>
        </w:tc>
      </w:tr>
      <w:tr w:rsidR="00BC7932" w:rsidRPr="00512BE3" w14:paraId="4FB4FB5C" w14:textId="77777777" w:rsidTr="00BC7932">
        <w:trPr>
          <w:trHeight w:val="653"/>
          <w:jc w:val="center"/>
        </w:trPr>
        <w:tc>
          <w:tcPr>
            <w:tcW w:w="3411" w:type="dxa"/>
            <w:shd w:val="clear" w:color="auto" w:fill="auto"/>
            <w:vAlign w:val="center"/>
          </w:tcPr>
          <w:p w14:paraId="4043F68D" w14:textId="77777777" w:rsidR="00BC7932" w:rsidRPr="00512BE3" w:rsidRDefault="00BC7932" w:rsidP="00BC7932">
            <w:pPr>
              <w:autoSpaceDE w:val="0"/>
              <w:autoSpaceDN w:val="0"/>
              <w:adjustRightInd w:val="0"/>
              <w:rPr>
                <w:b/>
                <w:bCs/>
                <w:sz w:val="20"/>
                <w:szCs w:val="20"/>
                <w:lang w:val="bs-Latn-BA" w:bidi="ta-IN"/>
              </w:rPr>
            </w:pPr>
            <w:r w:rsidRPr="00512BE3">
              <w:rPr>
                <w:bCs/>
                <w:sz w:val="20"/>
                <w:szCs w:val="20"/>
                <w:lang w:val="bs-Latn-BA" w:bidi="ta-IN"/>
              </w:rPr>
              <w:t>Učešće u operativnim akcijama na domaćem nivou</w:t>
            </w:r>
          </w:p>
        </w:tc>
        <w:tc>
          <w:tcPr>
            <w:tcW w:w="2576" w:type="dxa"/>
            <w:shd w:val="clear" w:color="auto" w:fill="auto"/>
          </w:tcPr>
          <w:p w14:paraId="0A5662BB" w14:textId="77777777" w:rsidR="00BC7932" w:rsidRPr="00512BE3" w:rsidRDefault="00BC7932" w:rsidP="00BC7932">
            <w:pPr>
              <w:jc w:val="center"/>
              <w:rPr>
                <w:sz w:val="20"/>
                <w:szCs w:val="20"/>
                <w:lang w:val="bs-Latn-BA"/>
              </w:rPr>
            </w:pPr>
            <w:r w:rsidRPr="00512BE3">
              <w:rPr>
                <w:sz w:val="20"/>
                <w:szCs w:val="20"/>
                <w:lang w:val="bs-Latn-BA"/>
              </w:rPr>
              <w:t>Broj realizovanih operativnih akcija na domaćem nivou nivou</w:t>
            </w:r>
          </w:p>
        </w:tc>
        <w:tc>
          <w:tcPr>
            <w:tcW w:w="978" w:type="dxa"/>
            <w:shd w:val="clear" w:color="auto" w:fill="auto"/>
            <w:vAlign w:val="center"/>
          </w:tcPr>
          <w:p w14:paraId="2F165BCD" w14:textId="77777777" w:rsidR="00BC7932" w:rsidRPr="00512BE3" w:rsidRDefault="00BC7932" w:rsidP="00BC7932">
            <w:pPr>
              <w:jc w:val="center"/>
              <w:rPr>
                <w:sz w:val="20"/>
                <w:szCs w:val="20"/>
                <w:lang w:val="bs-Latn-BA"/>
              </w:rPr>
            </w:pPr>
            <w:r w:rsidRPr="00512BE3">
              <w:rPr>
                <w:sz w:val="20"/>
                <w:szCs w:val="20"/>
                <w:lang w:val="bs-Latn-BA"/>
              </w:rPr>
              <w:t>7</w:t>
            </w:r>
          </w:p>
        </w:tc>
        <w:tc>
          <w:tcPr>
            <w:tcW w:w="1018" w:type="dxa"/>
            <w:shd w:val="clear" w:color="auto" w:fill="auto"/>
            <w:vAlign w:val="center"/>
          </w:tcPr>
          <w:p w14:paraId="07CCA656" w14:textId="77777777" w:rsidR="00BC7932" w:rsidRPr="00512BE3" w:rsidRDefault="00BC7932" w:rsidP="00BC7932">
            <w:pPr>
              <w:jc w:val="center"/>
              <w:rPr>
                <w:sz w:val="20"/>
                <w:szCs w:val="20"/>
                <w:lang w:val="bs-Latn-BA"/>
              </w:rPr>
            </w:pPr>
            <w:r w:rsidRPr="00512BE3">
              <w:rPr>
                <w:sz w:val="20"/>
                <w:szCs w:val="20"/>
                <w:lang w:val="bs-Latn-BA"/>
              </w:rPr>
              <w:t>10</w:t>
            </w:r>
          </w:p>
        </w:tc>
        <w:tc>
          <w:tcPr>
            <w:tcW w:w="1045" w:type="dxa"/>
            <w:shd w:val="clear" w:color="auto" w:fill="auto"/>
            <w:noWrap/>
            <w:vAlign w:val="center"/>
          </w:tcPr>
          <w:p w14:paraId="5115E312" w14:textId="77777777" w:rsidR="00BC7932" w:rsidRPr="00512BE3" w:rsidRDefault="00BC7932" w:rsidP="00BC7932">
            <w:pPr>
              <w:jc w:val="center"/>
              <w:rPr>
                <w:sz w:val="20"/>
                <w:szCs w:val="20"/>
                <w:lang w:val="bs-Latn-BA"/>
              </w:rPr>
            </w:pPr>
            <w:r w:rsidRPr="00512BE3">
              <w:rPr>
                <w:sz w:val="20"/>
                <w:szCs w:val="20"/>
                <w:lang w:val="bs-Latn-BA"/>
              </w:rPr>
              <w:t>+42,86%</w:t>
            </w:r>
          </w:p>
        </w:tc>
      </w:tr>
      <w:tr w:rsidR="00BC7932" w:rsidRPr="00512BE3" w14:paraId="29907CAC" w14:textId="77777777" w:rsidTr="00BC7932">
        <w:trPr>
          <w:trHeight w:val="653"/>
          <w:jc w:val="center"/>
        </w:trPr>
        <w:tc>
          <w:tcPr>
            <w:tcW w:w="3411" w:type="dxa"/>
            <w:shd w:val="clear" w:color="auto" w:fill="auto"/>
            <w:vAlign w:val="center"/>
          </w:tcPr>
          <w:p w14:paraId="6D1BDFBF" w14:textId="77777777" w:rsidR="00BC7932" w:rsidRPr="00512BE3" w:rsidRDefault="00BC7932" w:rsidP="00BC7932">
            <w:pPr>
              <w:autoSpaceDE w:val="0"/>
              <w:autoSpaceDN w:val="0"/>
              <w:adjustRightInd w:val="0"/>
              <w:rPr>
                <w:bCs/>
                <w:sz w:val="20"/>
                <w:szCs w:val="20"/>
                <w:lang w:val="bs-Latn-BA" w:bidi="ta-IN"/>
              </w:rPr>
            </w:pPr>
            <w:r w:rsidRPr="00512BE3">
              <w:rPr>
                <w:bCs/>
                <w:sz w:val="20"/>
                <w:szCs w:val="20"/>
                <w:lang w:val="bs-Latn-BA" w:bidi="ta-IN"/>
              </w:rPr>
              <w:t>Otkrivanje i procesuiranje krivičnih djela vezanih za indirektne poreze</w:t>
            </w:r>
          </w:p>
        </w:tc>
        <w:tc>
          <w:tcPr>
            <w:tcW w:w="2576" w:type="dxa"/>
            <w:shd w:val="clear" w:color="auto" w:fill="auto"/>
            <w:vAlign w:val="center"/>
          </w:tcPr>
          <w:p w14:paraId="61638EBB" w14:textId="77777777" w:rsidR="00BC7932" w:rsidRPr="00512BE3" w:rsidRDefault="00BC7932" w:rsidP="00BC7932">
            <w:pPr>
              <w:autoSpaceDE w:val="0"/>
              <w:autoSpaceDN w:val="0"/>
              <w:adjustRightInd w:val="0"/>
              <w:jc w:val="center"/>
              <w:rPr>
                <w:bCs/>
                <w:sz w:val="20"/>
                <w:szCs w:val="20"/>
                <w:lang w:val="bs-Latn-BA" w:bidi="ta-IN"/>
              </w:rPr>
            </w:pPr>
            <w:r w:rsidRPr="00512BE3">
              <w:rPr>
                <w:bCs/>
                <w:sz w:val="20"/>
                <w:szCs w:val="20"/>
                <w:lang w:val="bs-Latn-BA" w:bidi="ta-IN"/>
              </w:rPr>
              <w:t>Broj podnesenih krivičnih prijava</w:t>
            </w:r>
          </w:p>
        </w:tc>
        <w:tc>
          <w:tcPr>
            <w:tcW w:w="978" w:type="dxa"/>
            <w:shd w:val="clear" w:color="auto" w:fill="auto"/>
            <w:vAlign w:val="center"/>
          </w:tcPr>
          <w:p w14:paraId="43678EF3" w14:textId="77777777" w:rsidR="00BC7932" w:rsidRPr="00512BE3" w:rsidRDefault="00BC7932" w:rsidP="00BC7932">
            <w:pPr>
              <w:jc w:val="center"/>
              <w:rPr>
                <w:sz w:val="20"/>
                <w:szCs w:val="20"/>
                <w:lang w:val="bs-Latn-BA"/>
              </w:rPr>
            </w:pPr>
            <w:r w:rsidRPr="00512BE3">
              <w:rPr>
                <w:sz w:val="20"/>
                <w:szCs w:val="20"/>
                <w:lang w:val="bs-Latn-BA"/>
              </w:rPr>
              <w:t>140</w:t>
            </w:r>
          </w:p>
        </w:tc>
        <w:tc>
          <w:tcPr>
            <w:tcW w:w="1018" w:type="dxa"/>
            <w:shd w:val="clear" w:color="auto" w:fill="auto"/>
            <w:vAlign w:val="center"/>
          </w:tcPr>
          <w:p w14:paraId="76E3D325" w14:textId="77777777" w:rsidR="00BC7932" w:rsidRPr="00512BE3" w:rsidRDefault="00BC7932" w:rsidP="00BC7932">
            <w:pPr>
              <w:jc w:val="center"/>
              <w:rPr>
                <w:sz w:val="20"/>
                <w:szCs w:val="20"/>
                <w:lang w:val="bs-Latn-BA"/>
              </w:rPr>
            </w:pPr>
            <w:r w:rsidRPr="00512BE3">
              <w:rPr>
                <w:sz w:val="20"/>
                <w:szCs w:val="20"/>
                <w:lang w:val="bs-Latn-BA"/>
              </w:rPr>
              <w:t>74</w:t>
            </w:r>
          </w:p>
        </w:tc>
        <w:tc>
          <w:tcPr>
            <w:tcW w:w="1045" w:type="dxa"/>
            <w:shd w:val="clear" w:color="auto" w:fill="auto"/>
            <w:noWrap/>
            <w:vAlign w:val="center"/>
          </w:tcPr>
          <w:p w14:paraId="1D282E9A" w14:textId="77777777" w:rsidR="00BC7932" w:rsidRPr="00512BE3" w:rsidRDefault="00BC7932" w:rsidP="00BC7932">
            <w:pPr>
              <w:jc w:val="center"/>
              <w:rPr>
                <w:sz w:val="20"/>
                <w:szCs w:val="20"/>
                <w:lang w:val="bs-Latn-BA"/>
              </w:rPr>
            </w:pPr>
            <w:r w:rsidRPr="00512BE3">
              <w:rPr>
                <w:sz w:val="20"/>
                <w:szCs w:val="20"/>
                <w:lang w:val="bs-Latn-BA"/>
              </w:rPr>
              <w:t>-47,14%</w:t>
            </w:r>
          </w:p>
        </w:tc>
      </w:tr>
      <w:tr w:rsidR="00BC7932" w:rsidRPr="00512BE3" w14:paraId="0B238640" w14:textId="77777777" w:rsidTr="00BC7932">
        <w:trPr>
          <w:trHeight w:val="653"/>
          <w:jc w:val="center"/>
        </w:trPr>
        <w:tc>
          <w:tcPr>
            <w:tcW w:w="3411" w:type="dxa"/>
            <w:shd w:val="clear" w:color="auto" w:fill="auto"/>
            <w:vAlign w:val="center"/>
          </w:tcPr>
          <w:p w14:paraId="270BAB34" w14:textId="77777777" w:rsidR="00BC7932" w:rsidRPr="00512BE3" w:rsidRDefault="00BC7932" w:rsidP="00BC7932">
            <w:pPr>
              <w:autoSpaceDE w:val="0"/>
              <w:autoSpaceDN w:val="0"/>
              <w:adjustRightInd w:val="0"/>
              <w:rPr>
                <w:bCs/>
                <w:sz w:val="20"/>
                <w:szCs w:val="20"/>
                <w:lang w:val="bs-Latn-BA" w:bidi="ta-IN"/>
              </w:rPr>
            </w:pPr>
            <w:r w:rsidRPr="00512BE3">
              <w:rPr>
                <w:bCs/>
                <w:sz w:val="20"/>
                <w:szCs w:val="20"/>
                <w:lang w:val="bs-Latn-BA" w:bidi="ta-IN"/>
              </w:rPr>
              <w:t>Postupanje po naredbama i zahtjevima Suda i Tužilaštva BiH</w:t>
            </w:r>
          </w:p>
        </w:tc>
        <w:tc>
          <w:tcPr>
            <w:tcW w:w="2576" w:type="dxa"/>
            <w:shd w:val="clear" w:color="auto" w:fill="auto"/>
            <w:vAlign w:val="center"/>
          </w:tcPr>
          <w:p w14:paraId="05B39FC5" w14:textId="77777777" w:rsidR="00BC7932" w:rsidRPr="00512BE3" w:rsidRDefault="00BC7932" w:rsidP="00BC7932">
            <w:pPr>
              <w:autoSpaceDE w:val="0"/>
              <w:autoSpaceDN w:val="0"/>
              <w:adjustRightInd w:val="0"/>
              <w:jc w:val="center"/>
              <w:rPr>
                <w:bCs/>
                <w:sz w:val="20"/>
                <w:szCs w:val="20"/>
                <w:lang w:val="bs-Latn-BA" w:bidi="ta-IN"/>
              </w:rPr>
            </w:pPr>
            <w:r w:rsidRPr="00512BE3">
              <w:rPr>
                <w:bCs/>
                <w:sz w:val="20"/>
                <w:szCs w:val="20"/>
                <w:lang w:val="bs-Latn-BA" w:bidi="ta-IN"/>
              </w:rPr>
              <w:t>% izvršenja naredbi i zahtjeva Suda i Tužilaštva</w:t>
            </w:r>
          </w:p>
        </w:tc>
        <w:tc>
          <w:tcPr>
            <w:tcW w:w="978" w:type="dxa"/>
            <w:shd w:val="clear" w:color="auto" w:fill="auto"/>
            <w:vAlign w:val="center"/>
          </w:tcPr>
          <w:p w14:paraId="5704ECAE" w14:textId="77777777" w:rsidR="00BC7932" w:rsidRPr="00512BE3" w:rsidRDefault="00BC7932" w:rsidP="00BC7932">
            <w:pPr>
              <w:jc w:val="center"/>
              <w:rPr>
                <w:sz w:val="20"/>
                <w:szCs w:val="20"/>
                <w:lang w:val="bs-Latn-BA"/>
              </w:rPr>
            </w:pPr>
            <w:r w:rsidRPr="00512BE3">
              <w:rPr>
                <w:sz w:val="20"/>
                <w:szCs w:val="20"/>
                <w:lang w:val="bs-Latn-BA"/>
              </w:rPr>
              <w:t>100</w:t>
            </w:r>
          </w:p>
        </w:tc>
        <w:tc>
          <w:tcPr>
            <w:tcW w:w="1018" w:type="dxa"/>
            <w:shd w:val="clear" w:color="auto" w:fill="auto"/>
            <w:vAlign w:val="center"/>
          </w:tcPr>
          <w:p w14:paraId="72F8BE2D" w14:textId="77777777" w:rsidR="00BC7932" w:rsidRPr="00512BE3" w:rsidRDefault="00BC7932" w:rsidP="00BC7932">
            <w:pPr>
              <w:jc w:val="center"/>
              <w:rPr>
                <w:sz w:val="20"/>
                <w:szCs w:val="20"/>
                <w:lang w:val="bs-Latn-BA"/>
              </w:rPr>
            </w:pPr>
            <w:r w:rsidRPr="00512BE3">
              <w:rPr>
                <w:sz w:val="20"/>
                <w:szCs w:val="20"/>
                <w:lang w:val="bs-Latn-BA"/>
              </w:rPr>
              <w:t>100</w:t>
            </w:r>
          </w:p>
        </w:tc>
        <w:tc>
          <w:tcPr>
            <w:tcW w:w="1045" w:type="dxa"/>
            <w:shd w:val="clear" w:color="auto" w:fill="auto"/>
            <w:noWrap/>
            <w:vAlign w:val="center"/>
          </w:tcPr>
          <w:p w14:paraId="4BA4C4ED" w14:textId="77777777" w:rsidR="00BC7932" w:rsidRPr="00512BE3" w:rsidRDefault="00BC7932" w:rsidP="00BC7932">
            <w:pPr>
              <w:jc w:val="center"/>
              <w:rPr>
                <w:sz w:val="20"/>
                <w:szCs w:val="20"/>
                <w:lang w:val="bs-Latn-BA"/>
              </w:rPr>
            </w:pPr>
            <w:r w:rsidRPr="00512BE3">
              <w:rPr>
                <w:sz w:val="20"/>
                <w:szCs w:val="20"/>
                <w:lang w:val="bs-Latn-BA"/>
              </w:rPr>
              <w:t>-</w:t>
            </w:r>
          </w:p>
        </w:tc>
      </w:tr>
    </w:tbl>
    <w:p w14:paraId="17613BF2" w14:textId="77777777" w:rsidR="00215B41" w:rsidRDefault="00215B41" w:rsidP="00FC39B2">
      <w:pPr>
        <w:spacing w:line="256" w:lineRule="auto"/>
        <w:contextualSpacing/>
        <w:jc w:val="both"/>
        <w:rPr>
          <w:noProof/>
          <w:sz w:val="22"/>
          <w:szCs w:val="22"/>
          <w:lang w:val="bs-Latn-BA"/>
        </w:rPr>
      </w:pPr>
    </w:p>
    <w:p w14:paraId="6CE20A08" w14:textId="2B48C8C4" w:rsidR="00476DDF" w:rsidRPr="00512BE3" w:rsidRDefault="00886E0B" w:rsidP="00FC39B2">
      <w:pPr>
        <w:spacing w:line="256" w:lineRule="auto"/>
        <w:contextualSpacing/>
        <w:jc w:val="both"/>
        <w:rPr>
          <w:sz w:val="22"/>
          <w:szCs w:val="22"/>
        </w:rPr>
      </w:pPr>
      <w:r w:rsidRPr="00512BE3">
        <w:rPr>
          <w:noProof/>
          <w:sz w:val="22"/>
          <w:szCs w:val="22"/>
          <w:lang w:val="bs-Latn-BA"/>
        </w:rPr>
        <w:t xml:space="preserve">U </w:t>
      </w:r>
      <w:r w:rsidR="0013259A" w:rsidRPr="00512BE3">
        <w:rPr>
          <w:noProof/>
          <w:sz w:val="22"/>
          <w:szCs w:val="22"/>
          <w:lang w:val="bs-Latn-BA"/>
        </w:rPr>
        <w:t>2022</w:t>
      </w:r>
      <w:r w:rsidR="00FB63FF" w:rsidRPr="00512BE3">
        <w:rPr>
          <w:noProof/>
          <w:sz w:val="22"/>
          <w:szCs w:val="22"/>
          <w:lang w:val="bs-Latn-BA"/>
        </w:rPr>
        <w:t xml:space="preserve">. godini </w:t>
      </w:r>
      <w:r w:rsidR="00FD3061" w:rsidRPr="00512BE3">
        <w:rPr>
          <w:noProof/>
          <w:sz w:val="22"/>
          <w:szCs w:val="22"/>
          <w:lang w:val="bs-Latn-BA"/>
        </w:rPr>
        <w:t>podnesen</w:t>
      </w:r>
      <w:r w:rsidR="00240271" w:rsidRPr="00512BE3">
        <w:rPr>
          <w:noProof/>
          <w:sz w:val="22"/>
          <w:szCs w:val="22"/>
          <w:lang w:val="bs-Latn-BA"/>
        </w:rPr>
        <w:t>e su</w:t>
      </w:r>
      <w:r w:rsidR="00FD3061" w:rsidRPr="00512BE3">
        <w:rPr>
          <w:noProof/>
          <w:sz w:val="22"/>
          <w:szCs w:val="22"/>
          <w:lang w:val="bs-Latn-BA"/>
        </w:rPr>
        <w:t xml:space="preserve"> </w:t>
      </w:r>
      <w:r w:rsidR="0013259A" w:rsidRPr="00512BE3">
        <w:rPr>
          <w:noProof/>
          <w:sz w:val="22"/>
          <w:szCs w:val="22"/>
          <w:lang w:val="bs-Latn-BA"/>
        </w:rPr>
        <w:t>74 prijave</w:t>
      </w:r>
      <w:r w:rsidR="00FB63FF" w:rsidRPr="00512BE3">
        <w:rPr>
          <w:noProof/>
          <w:sz w:val="22"/>
          <w:szCs w:val="22"/>
          <w:lang w:val="bs-Latn-BA"/>
        </w:rPr>
        <w:t xml:space="preserve"> nadležnom Tužilaštvu BiH</w:t>
      </w:r>
      <w:r w:rsidR="00EE2244" w:rsidRPr="00512BE3">
        <w:rPr>
          <w:noProof/>
          <w:sz w:val="22"/>
          <w:szCs w:val="22"/>
          <w:lang w:val="bs-Latn-BA"/>
        </w:rPr>
        <w:t xml:space="preserve"> sa</w:t>
      </w:r>
      <w:r w:rsidR="00EE2244" w:rsidRPr="00512BE3">
        <w:rPr>
          <w:sz w:val="22"/>
          <w:szCs w:val="22"/>
          <w:lang w:val="bs-Latn-BA" w:eastAsia="en-US"/>
        </w:rPr>
        <w:t xml:space="preserve"> prijavljenim iznosom štete od </w:t>
      </w:r>
      <w:r w:rsidR="0013259A" w:rsidRPr="00512BE3">
        <w:rPr>
          <w:sz w:val="22"/>
          <w:szCs w:val="22"/>
          <w:lang w:val="bs-Latn-BA" w:eastAsia="en-US"/>
        </w:rPr>
        <w:t>57.174.892,42</w:t>
      </w:r>
      <w:r w:rsidR="00EE2244" w:rsidRPr="00512BE3">
        <w:rPr>
          <w:sz w:val="22"/>
          <w:szCs w:val="22"/>
          <w:lang w:val="bs-Latn-BA" w:eastAsia="en-US"/>
        </w:rPr>
        <w:t xml:space="preserve"> KM</w:t>
      </w:r>
      <w:r w:rsidRPr="00512BE3">
        <w:rPr>
          <w:sz w:val="22"/>
          <w:szCs w:val="22"/>
          <w:lang w:val="bs-Latn-BA" w:eastAsia="en-US"/>
        </w:rPr>
        <w:t xml:space="preserve"> </w:t>
      </w:r>
      <w:r w:rsidR="00215B41">
        <w:rPr>
          <w:sz w:val="22"/>
          <w:szCs w:val="22"/>
          <w:lang w:val="bs-Latn-BA" w:eastAsia="en-US"/>
        </w:rPr>
        <w:t>,</w:t>
      </w:r>
      <w:r w:rsidR="00D3306E" w:rsidRPr="00512BE3">
        <w:rPr>
          <w:sz w:val="22"/>
          <w:szCs w:val="22"/>
          <w:lang w:val="bs-Latn-BA" w:eastAsia="en-US"/>
        </w:rPr>
        <w:t>što u poređenju sa</w:t>
      </w:r>
      <w:r w:rsidR="0013259A" w:rsidRPr="00512BE3">
        <w:rPr>
          <w:sz w:val="22"/>
          <w:szCs w:val="22"/>
          <w:lang w:val="bs-Latn-BA" w:eastAsia="en-US"/>
        </w:rPr>
        <w:t xml:space="preserve"> pokazateljima ostvarenim u 2021</w:t>
      </w:r>
      <w:r w:rsidR="00D3306E" w:rsidRPr="00512BE3">
        <w:rPr>
          <w:sz w:val="22"/>
          <w:szCs w:val="22"/>
          <w:lang w:val="bs-Latn-BA" w:eastAsia="en-US"/>
        </w:rPr>
        <w:t>. godini (podneseno</w:t>
      </w:r>
      <w:r w:rsidRPr="00512BE3">
        <w:rPr>
          <w:sz w:val="22"/>
          <w:szCs w:val="22"/>
          <w:lang w:val="bs-Latn-BA" w:eastAsia="en-US"/>
        </w:rPr>
        <w:t xml:space="preserve"> 10</w:t>
      </w:r>
      <w:r w:rsidR="0013259A" w:rsidRPr="00512BE3">
        <w:rPr>
          <w:sz w:val="22"/>
          <w:szCs w:val="22"/>
          <w:lang w:val="bs-Latn-BA" w:eastAsia="en-US"/>
        </w:rPr>
        <w:t>1</w:t>
      </w:r>
      <w:r w:rsidRPr="00512BE3">
        <w:rPr>
          <w:sz w:val="22"/>
          <w:szCs w:val="22"/>
          <w:lang w:val="bs-Latn-BA" w:eastAsia="en-US"/>
        </w:rPr>
        <w:t xml:space="preserve"> prijava sa prijavljenim iznosom štete od </w:t>
      </w:r>
      <w:r w:rsidR="0013259A" w:rsidRPr="00512BE3">
        <w:rPr>
          <w:sz w:val="22"/>
          <w:szCs w:val="22"/>
          <w:lang w:val="bs-Latn-BA" w:eastAsia="en-US"/>
        </w:rPr>
        <w:t>67.160.147,53</w:t>
      </w:r>
      <w:r w:rsidRPr="00512BE3">
        <w:rPr>
          <w:sz w:val="22"/>
          <w:szCs w:val="22"/>
          <w:lang w:val="bs-Latn-BA" w:eastAsia="en-US"/>
        </w:rPr>
        <w:t xml:space="preserve"> KM</w:t>
      </w:r>
      <w:r w:rsidR="00D3306E" w:rsidRPr="00512BE3">
        <w:rPr>
          <w:sz w:val="22"/>
          <w:szCs w:val="22"/>
          <w:lang w:val="bs-Latn-BA" w:eastAsia="en-US"/>
        </w:rPr>
        <w:t xml:space="preserve">), pokazuje da je prijavljeni iznos štete </w:t>
      </w:r>
      <w:r w:rsidR="0013259A" w:rsidRPr="00512BE3">
        <w:rPr>
          <w:sz w:val="22"/>
          <w:szCs w:val="22"/>
          <w:lang w:val="bs-Latn-BA" w:eastAsia="en-US"/>
        </w:rPr>
        <w:t>manji</w:t>
      </w:r>
      <w:r w:rsidR="00D3306E" w:rsidRPr="00512BE3">
        <w:rPr>
          <w:sz w:val="22"/>
          <w:szCs w:val="22"/>
          <w:lang w:val="bs-Latn-BA" w:eastAsia="en-US"/>
        </w:rPr>
        <w:t xml:space="preserve"> za </w:t>
      </w:r>
      <w:r w:rsidR="0013259A" w:rsidRPr="00512BE3">
        <w:rPr>
          <w:sz w:val="22"/>
          <w:szCs w:val="22"/>
          <w:lang w:val="bs-Latn-BA" w:eastAsia="en-US"/>
        </w:rPr>
        <w:t>10.113.719,51</w:t>
      </w:r>
      <w:r w:rsidR="00D3306E" w:rsidRPr="00512BE3">
        <w:rPr>
          <w:sz w:val="22"/>
          <w:szCs w:val="22"/>
          <w:lang w:val="bs-Latn-BA" w:eastAsia="en-US"/>
        </w:rPr>
        <w:t xml:space="preserve"> KM</w:t>
      </w:r>
      <w:r w:rsidRPr="00512BE3">
        <w:rPr>
          <w:sz w:val="22"/>
          <w:szCs w:val="22"/>
          <w:lang w:val="bs-Latn-BA" w:eastAsia="en-US"/>
        </w:rPr>
        <w:t xml:space="preserve">. </w:t>
      </w:r>
      <w:r w:rsidR="00AD61FC" w:rsidRPr="00512BE3">
        <w:rPr>
          <w:sz w:val="22"/>
          <w:szCs w:val="22"/>
          <w:lang w:val="bs-Latn-BA" w:eastAsia="en-US"/>
        </w:rPr>
        <w:t>Takođe u izvještajnom periodu zaprimljena je 677 prijava putem otvorene linije STOP ŠVERCU.</w:t>
      </w:r>
    </w:p>
    <w:p w14:paraId="5E31B5BB" w14:textId="768CC9EA" w:rsidR="00272474" w:rsidRDefault="00476DDF" w:rsidP="00C07D67">
      <w:pPr>
        <w:spacing w:line="256" w:lineRule="auto"/>
        <w:contextualSpacing/>
        <w:jc w:val="both"/>
        <w:rPr>
          <w:sz w:val="22"/>
          <w:szCs w:val="22"/>
          <w:lang w:val="bs-Latn-BA" w:eastAsia="en-US"/>
        </w:rPr>
      </w:pPr>
      <w:r w:rsidRPr="00512BE3">
        <w:rPr>
          <w:sz w:val="22"/>
          <w:szCs w:val="22"/>
        </w:rPr>
        <w:t>Postupanje nadležnih obavještajnih organizacionih jedinica UIO u izvještajnom periodu rezultiralo je evidentiranju 1</w:t>
      </w:r>
      <w:r w:rsidR="0013259A" w:rsidRPr="00512BE3">
        <w:rPr>
          <w:sz w:val="22"/>
          <w:szCs w:val="22"/>
        </w:rPr>
        <w:t>.352</w:t>
      </w:r>
      <w:r w:rsidRPr="00512BE3">
        <w:rPr>
          <w:sz w:val="22"/>
          <w:szCs w:val="22"/>
        </w:rPr>
        <w:t xml:space="preserve"> obavještajnih informacija po kojima su postupale nadležne organizacione jedinice</w:t>
      </w:r>
      <w:r w:rsidR="00EB5039" w:rsidRPr="00512BE3">
        <w:rPr>
          <w:sz w:val="22"/>
          <w:szCs w:val="22"/>
          <w:lang w:val="bs-Latn-BA" w:eastAsia="en-US"/>
        </w:rPr>
        <w:t xml:space="preserve"> i ostvareni rezultati su iskazani u tabelarnom pregledu </w:t>
      </w:r>
      <w:r w:rsidR="00EB5039" w:rsidRPr="00512BE3">
        <w:rPr>
          <w:i/>
          <w:sz w:val="22"/>
          <w:szCs w:val="22"/>
          <w:lang w:val="bs-Latn-BA" w:eastAsia="en-US"/>
        </w:rPr>
        <w:t>(Tabela 14)</w:t>
      </w:r>
      <w:r w:rsidR="00D3306E" w:rsidRPr="00512BE3">
        <w:rPr>
          <w:i/>
          <w:sz w:val="22"/>
          <w:szCs w:val="22"/>
          <w:lang w:val="bs-Latn-BA" w:eastAsia="en-US"/>
        </w:rPr>
        <w:t>.</w:t>
      </w:r>
      <w:r w:rsidR="00D3306E" w:rsidRPr="00512BE3">
        <w:rPr>
          <w:sz w:val="22"/>
          <w:szCs w:val="22"/>
          <w:lang w:val="bs-Latn-BA" w:eastAsia="en-US"/>
        </w:rPr>
        <w:t xml:space="preserve"> </w:t>
      </w:r>
    </w:p>
    <w:p w14:paraId="5BD7297A" w14:textId="0DDB77B3" w:rsidR="00215B41" w:rsidRPr="00512BE3" w:rsidRDefault="00215B41" w:rsidP="00C07D67">
      <w:pPr>
        <w:spacing w:line="256" w:lineRule="auto"/>
        <w:contextualSpacing/>
        <w:jc w:val="both"/>
        <w:rPr>
          <w:sz w:val="22"/>
          <w:szCs w:val="22"/>
          <w:lang w:val="bs-Latn-BA" w:eastAsia="en-US"/>
        </w:rPr>
      </w:pPr>
    </w:p>
    <w:p w14:paraId="3415A5F2" w14:textId="77777777" w:rsidR="00113595" w:rsidRPr="00512BE3" w:rsidRDefault="00B40A18" w:rsidP="00274A2F">
      <w:pPr>
        <w:spacing w:after="40"/>
        <w:jc w:val="both"/>
        <w:rPr>
          <w:sz w:val="22"/>
          <w:szCs w:val="22"/>
          <w:lang w:val="hr-BA"/>
        </w:rPr>
      </w:pPr>
      <w:r w:rsidRPr="00512BE3">
        <w:rPr>
          <w:b/>
          <w:i/>
          <w:sz w:val="22"/>
        </w:rPr>
        <w:t xml:space="preserve">Tabela </w:t>
      </w:r>
      <w:r w:rsidR="0021125A" w:rsidRPr="00512BE3">
        <w:rPr>
          <w:b/>
          <w:i/>
          <w:sz w:val="22"/>
        </w:rPr>
        <w:t>1</w:t>
      </w:r>
      <w:r w:rsidR="007D061D" w:rsidRPr="00512BE3">
        <w:rPr>
          <w:b/>
          <w:i/>
          <w:sz w:val="22"/>
        </w:rPr>
        <w:t>4</w:t>
      </w:r>
      <w:r w:rsidR="003A4777" w:rsidRPr="001A2DBA">
        <w:rPr>
          <w:b/>
          <w:i/>
          <w:sz w:val="22"/>
        </w:rPr>
        <w:t>:</w:t>
      </w:r>
      <w:r w:rsidRPr="001A2DBA">
        <w:rPr>
          <w:noProof/>
          <w:sz w:val="20"/>
          <w:szCs w:val="22"/>
          <w:lang w:val="hr-BA"/>
        </w:rPr>
        <w:t xml:space="preserve"> </w:t>
      </w:r>
      <w:r w:rsidRPr="001A2DBA">
        <w:rPr>
          <w:b/>
          <w:i/>
          <w:sz w:val="22"/>
          <w:lang w:val="hr-BA"/>
        </w:rPr>
        <w:t>Rezultati prikupljenih informacija</w:t>
      </w:r>
      <w:r w:rsidR="00B37D16" w:rsidRPr="00512BE3">
        <w:rPr>
          <w:b/>
          <w:i/>
          <w:sz w:val="22"/>
          <w:lang w:val="hr-BA"/>
        </w:rPr>
        <w:t xml:space="preserve"> </w:t>
      </w:r>
    </w:p>
    <w:tbl>
      <w:tblPr>
        <w:tblW w:w="9060" w:type="dxa"/>
        <w:jc w:val="center"/>
        <w:tblLook w:val="04A0" w:firstRow="1" w:lastRow="0" w:firstColumn="1" w:lastColumn="0" w:noHBand="0" w:noVBand="1"/>
      </w:tblPr>
      <w:tblGrid>
        <w:gridCol w:w="634"/>
        <w:gridCol w:w="474"/>
        <w:gridCol w:w="823"/>
        <w:gridCol w:w="1009"/>
        <w:gridCol w:w="563"/>
        <w:gridCol w:w="986"/>
        <w:gridCol w:w="566"/>
        <w:gridCol w:w="787"/>
        <w:gridCol w:w="862"/>
        <w:gridCol w:w="476"/>
        <w:gridCol w:w="928"/>
        <w:gridCol w:w="952"/>
      </w:tblGrid>
      <w:tr w:rsidR="0013259A" w:rsidRPr="00512BE3" w14:paraId="5006663D" w14:textId="77777777" w:rsidTr="006C4AD5">
        <w:trPr>
          <w:trHeight w:val="156"/>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D8BF4AE" w14:textId="77777777" w:rsidR="0013259A" w:rsidRPr="00512BE3" w:rsidRDefault="0013259A" w:rsidP="0013259A">
            <w:pPr>
              <w:jc w:val="center"/>
              <w:rPr>
                <w:sz w:val="14"/>
                <w:szCs w:val="14"/>
                <w:lang w:val="bs-Latn-BA" w:eastAsia="en-GB"/>
              </w:rPr>
            </w:pPr>
            <w:r w:rsidRPr="00512BE3">
              <w:rPr>
                <w:sz w:val="14"/>
                <w:szCs w:val="14"/>
                <w:lang w:val="bs-Latn-BA" w:eastAsia="en-GB"/>
              </w:rPr>
              <w:t>Godina</w:t>
            </w:r>
          </w:p>
        </w:tc>
        <w:tc>
          <w:tcPr>
            <w:tcW w:w="2305" w:type="dxa"/>
            <w:gridSpan w:val="3"/>
            <w:tcBorders>
              <w:top w:val="single" w:sz="4" w:space="0" w:color="auto"/>
              <w:left w:val="nil"/>
              <w:bottom w:val="single" w:sz="4" w:space="0" w:color="auto"/>
              <w:right w:val="single" w:sz="4" w:space="0" w:color="auto"/>
            </w:tcBorders>
            <w:shd w:val="clear" w:color="auto" w:fill="BDD6EE"/>
            <w:vAlign w:val="center"/>
            <w:hideMark/>
          </w:tcPr>
          <w:p w14:paraId="3D3680CB" w14:textId="77777777" w:rsidR="0013259A" w:rsidRPr="00512BE3" w:rsidRDefault="0013259A" w:rsidP="0013259A">
            <w:pPr>
              <w:jc w:val="center"/>
              <w:rPr>
                <w:sz w:val="14"/>
                <w:szCs w:val="14"/>
                <w:lang w:val="bs-Latn-BA" w:eastAsia="en-GB"/>
              </w:rPr>
            </w:pPr>
            <w:r w:rsidRPr="00512BE3">
              <w:rPr>
                <w:sz w:val="14"/>
                <w:szCs w:val="14"/>
                <w:lang w:val="bs-Latn-BA" w:eastAsia="en-GB"/>
              </w:rPr>
              <w:t>Grupe za istrage</w:t>
            </w:r>
          </w:p>
        </w:tc>
        <w:tc>
          <w:tcPr>
            <w:tcW w:w="3762" w:type="dxa"/>
            <w:gridSpan w:val="5"/>
            <w:tcBorders>
              <w:top w:val="single" w:sz="4" w:space="0" w:color="auto"/>
              <w:left w:val="nil"/>
              <w:bottom w:val="single" w:sz="4" w:space="0" w:color="auto"/>
              <w:right w:val="single" w:sz="4" w:space="0" w:color="auto"/>
            </w:tcBorders>
            <w:shd w:val="clear" w:color="auto" w:fill="BDD6EE"/>
            <w:vAlign w:val="center"/>
            <w:hideMark/>
          </w:tcPr>
          <w:p w14:paraId="6EF7AD75" w14:textId="77777777" w:rsidR="0013259A" w:rsidRPr="00512BE3" w:rsidRDefault="0013259A" w:rsidP="0013259A">
            <w:pPr>
              <w:jc w:val="center"/>
              <w:rPr>
                <w:sz w:val="14"/>
                <w:szCs w:val="14"/>
                <w:lang w:val="bs-Latn-BA" w:eastAsia="en-GB"/>
              </w:rPr>
            </w:pPr>
            <w:r w:rsidRPr="00512BE3">
              <w:rPr>
                <w:sz w:val="14"/>
                <w:szCs w:val="14"/>
                <w:lang w:val="bs-Latn-BA" w:eastAsia="en-GB"/>
              </w:rPr>
              <w:t>Grupe za sprečavanje krijumčarenja i prekršaja</w:t>
            </w:r>
          </w:p>
        </w:tc>
        <w:tc>
          <w:tcPr>
            <w:tcW w:w="1405" w:type="dxa"/>
            <w:gridSpan w:val="2"/>
            <w:tcBorders>
              <w:top w:val="single" w:sz="4" w:space="0" w:color="auto"/>
              <w:left w:val="nil"/>
              <w:bottom w:val="single" w:sz="4" w:space="0" w:color="auto"/>
              <w:right w:val="single" w:sz="4" w:space="0" w:color="auto"/>
            </w:tcBorders>
            <w:shd w:val="clear" w:color="auto" w:fill="BDD6EE"/>
            <w:vAlign w:val="center"/>
            <w:hideMark/>
          </w:tcPr>
          <w:p w14:paraId="2EC646CF" w14:textId="77777777" w:rsidR="0013259A" w:rsidRPr="00512BE3" w:rsidRDefault="0013259A" w:rsidP="0013259A">
            <w:pPr>
              <w:jc w:val="center"/>
              <w:rPr>
                <w:sz w:val="14"/>
                <w:szCs w:val="14"/>
                <w:lang w:val="bs-Latn-BA" w:eastAsia="en-GB"/>
              </w:rPr>
            </w:pPr>
            <w:r w:rsidRPr="00512BE3">
              <w:rPr>
                <w:sz w:val="14"/>
                <w:szCs w:val="14"/>
                <w:lang w:val="bs-Latn-BA" w:eastAsia="en-GB"/>
              </w:rPr>
              <w:t>Ostale org. jedinice UINO i drugi organi</w:t>
            </w:r>
          </w:p>
        </w:tc>
        <w:tc>
          <w:tcPr>
            <w:tcW w:w="953" w:type="dxa"/>
            <w:tcBorders>
              <w:top w:val="single" w:sz="4" w:space="0" w:color="auto"/>
              <w:left w:val="nil"/>
              <w:bottom w:val="single" w:sz="4" w:space="0" w:color="auto"/>
              <w:right w:val="single" w:sz="4" w:space="0" w:color="auto"/>
            </w:tcBorders>
            <w:shd w:val="clear" w:color="auto" w:fill="BDD6EE"/>
            <w:vAlign w:val="center"/>
            <w:hideMark/>
          </w:tcPr>
          <w:p w14:paraId="07973CDC" w14:textId="77777777" w:rsidR="0013259A" w:rsidRPr="00512BE3" w:rsidRDefault="0013259A" w:rsidP="0013259A">
            <w:pPr>
              <w:rPr>
                <w:sz w:val="14"/>
                <w:szCs w:val="14"/>
                <w:lang w:val="bs-Latn-BA" w:eastAsia="en-GB"/>
              </w:rPr>
            </w:pPr>
            <w:r w:rsidRPr="00512BE3">
              <w:rPr>
                <w:sz w:val="14"/>
                <w:szCs w:val="14"/>
                <w:lang w:val="bs-Latn-BA" w:eastAsia="en-GB"/>
              </w:rPr>
              <w:t>Finansijski učinak</w:t>
            </w:r>
          </w:p>
        </w:tc>
      </w:tr>
      <w:tr w:rsidR="006C4AD5" w:rsidRPr="00512BE3" w14:paraId="35563A04" w14:textId="77777777" w:rsidTr="006C4AD5">
        <w:trPr>
          <w:trHeight w:val="7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D1358" w14:textId="77777777" w:rsidR="0013259A" w:rsidRPr="00512BE3" w:rsidRDefault="0013259A" w:rsidP="0013259A">
            <w:pPr>
              <w:rPr>
                <w:sz w:val="14"/>
                <w:szCs w:val="14"/>
                <w:lang w:val="bs-Latn-BA" w:eastAsia="en-GB"/>
              </w:rPr>
            </w:pPr>
          </w:p>
        </w:tc>
        <w:tc>
          <w:tcPr>
            <w:tcW w:w="474" w:type="dxa"/>
            <w:tcBorders>
              <w:top w:val="nil"/>
              <w:left w:val="single" w:sz="4" w:space="0" w:color="auto"/>
              <w:bottom w:val="single" w:sz="4" w:space="0" w:color="auto"/>
              <w:right w:val="single" w:sz="4" w:space="0" w:color="auto"/>
            </w:tcBorders>
            <w:shd w:val="clear" w:color="auto" w:fill="BDD6EE"/>
            <w:vAlign w:val="center"/>
            <w:hideMark/>
          </w:tcPr>
          <w:p w14:paraId="5F2BE0FF" w14:textId="77777777" w:rsidR="0013259A" w:rsidRPr="00512BE3" w:rsidRDefault="0013259A" w:rsidP="0013259A">
            <w:pPr>
              <w:jc w:val="center"/>
              <w:rPr>
                <w:sz w:val="14"/>
                <w:szCs w:val="14"/>
                <w:lang w:val="bs-Latn-BA" w:eastAsia="en-GB"/>
              </w:rPr>
            </w:pPr>
            <w:r w:rsidRPr="00512BE3">
              <w:rPr>
                <w:sz w:val="14"/>
                <w:szCs w:val="14"/>
                <w:lang w:val="bs-Latn-BA" w:eastAsia="en-GB"/>
              </w:rPr>
              <w:t>Broj inf.</w:t>
            </w:r>
          </w:p>
        </w:tc>
        <w:tc>
          <w:tcPr>
            <w:tcW w:w="821" w:type="dxa"/>
            <w:tcBorders>
              <w:top w:val="nil"/>
              <w:left w:val="single" w:sz="4" w:space="0" w:color="auto"/>
              <w:bottom w:val="single" w:sz="4" w:space="0" w:color="auto"/>
              <w:right w:val="single" w:sz="4" w:space="0" w:color="auto"/>
            </w:tcBorders>
            <w:shd w:val="clear" w:color="auto" w:fill="BDD6EE"/>
            <w:vAlign w:val="center"/>
            <w:hideMark/>
          </w:tcPr>
          <w:p w14:paraId="31638229" w14:textId="77777777" w:rsidR="0013259A" w:rsidRPr="00512BE3" w:rsidRDefault="0013259A" w:rsidP="0013259A">
            <w:pPr>
              <w:jc w:val="center"/>
              <w:rPr>
                <w:sz w:val="14"/>
                <w:szCs w:val="14"/>
                <w:lang w:val="bs-Latn-BA" w:eastAsia="en-GB"/>
              </w:rPr>
            </w:pPr>
            <w:r w:rsidRPr="00512BE3">
              <w:rPr>
                <w:sz w:val="14"/>
                <w:szCs w:val="14"/>
                <w:lang w:val="bs-Latn-BA" w:eastAsia="en-GB"/>
              </w:rPr>
              <w:t>Podneseno prijava</w:t>
            </w:r>
          </w:p>
        </w:tc>
        <w:tc>
          <w:tcPr>
            <w:tcW w:w="1010" w:type="dxa"/>
            <w:tcBorders>
              <w:top w:val="nil"/>
              <w:left w:val="single" w:sz="4" w:space="0" w:color="auto"/>
              <w:bottom w:val="single" w:sz="4" w:space="0" w:color="auto"/>
              <w:right w:val="single" w:sz="4" w:space="0" w:color="auto"/>
            </w:tcBorders>
            <w:shd w:val="clear" w:color="auto" w:fill="BDD6EE"/>
            <w:vAlign w:val="center"/>
            <w:hideMark/>
          </w:tcPr>
          <w:p w14:paraId="51852B78" w14:textId="77777777" w:rsidR="0013259A" w:rsidRPr="00512BE3" w:rsidRDefault="0013259A" w:rsidP="0013259A">
            <w:pPr>
              <w:jc w:val="center"/>
              <w:rPr>
                <w:sz w:val="14"/>
                <w:szCs w:val="14"/>
                <w:lang w:val="bs-Latn-BA" w:eastAsia="en-GB"/>
              </w:rPr>
            </w:pPr>
            <w:r w:rsidRPr="00512BE3">
              <w:rPr>
                <w:sz w:val="14"/>
                <w:szCs w:val="14"/>
                <w:lang w:val="bs-Latn-BA" w:eastAsia="en-GB"/>
              </w:rPr>
              <w:t>Iznos štete u KM</w:t>
            </w:r>
          </w:p>
        </w:tc>
        <w:tc>
          <w:tcPr>
            <w:tcW w:w="563" w:type="dxa"/>
            <w:tcBorders>
              <w:top w:val="nil"/>
              <w:left w:val="single" w:sz="4" w:space="0" w:color="auto"/>
              <w:bottom w:val="single" w:sz="4" w:space="0" w:color="auto"/>
              <w:right w:val="single" w:sz="4" w:space="0" w:color="auto"/>
            </w:tcBorders>
            <w:shd w:val="clear" w:color="auto" w:fill="BDD6EE"/>
            <w:vAlign w:val="center"/>
            <w:hideMark/>
          </w:tcPr>
          <w:p w14:paraId="7CE18CDB" w14:textId="77777777" w:rsidR="0013259A" w:rsidRPr="00512BE3" w:rsidRDefault="0013259A" w:rsidP="0013259A">
            <w:pPr>
              <w:jc w:val="center"/>
              <w:rPr>
                <w:sz w:val="14"/>
                <w:szCs w:val="14"/>
                <w:lang w:val="bs-Latn-BA" w:eastAsia="en-GB"/>
              </w:rPr>
            </w:pPr>
            <w:r w:rsidRPr="00512BE3">
              <w:rPr>
                <w:sz w:val="14"/>
                <w:szCs w:val="14"/>
                <w:lang w:val="bs-Latn-BA" w:eastAsia="en-GB"/>
              </w:rPr>
              <w:t>Broj inf.</w:t>
            </w:r>
          </w:p>
        </w:tc>
        <w:tc>
          <w:tcPr>
            <w:tcW w:w="987" w:type="dxa"/>
            <w:tcBorders>
              <w:top w:val="nil"/>
              <w:left w:val="single" w:sz="4" w:space="0" w:color="auto"/>
              <w:bottom w:val="single" w:sz="4" w:space="0" w:color="auto"/>
              <w:right w:val="single" w:sz="4" w:space="0" w:color="auto"/>
            </w:tcBorders>
            <w:shd w:val="clear" w:color="auto" w:fill="BDD6EE"/>
            <w:vAlign w:val="center"/>
            <w:hideMark/>
          </w:tcPr>
          <w:p w14:paraId="73E5ADD5" w14:textId="77777777" w:rsidR="0013259A" w:rsidRPr="00512BE3" w:rsidRDefault="0013259A" w:rsidP="0013259A">
            <w:pPr>
              <w:jc w:val="center"/>
              <w:rPr>
                <w:sz w:val="14"/>
                <w:szCs w:val="14"/>
                <w:lang w:val="bs-Latn-BA" w:eastAsia="en-GB"/>
              </w:rPr>
            </w:pPr>
            <w:r w:rsidRPr="00512BE3">
              <w:rPr>
                <w:sz w:val="14"/>
                <w:szCs w:val="14"/>
                <w:lang w:val="bs-Latn-BA" w:eastAsia="en-GB"/>
              </w:rPr>
              <w:t>Zahtjevi za pokretanje prek. postupka</w:t>
            </w:r>
          </w:p>
        </w:tc>
        <w:tc>
          <w:tcPr>
            <w:tcW w:w="565" w:type="dxa"/>
            <w:tcBorders>
              <w:top w:val="nil"/>
              <w:left w:val="single" w:sz="4" w:space="0" w:color="auto"/>
              <w:bottom w:val="single" w:sz="4" w:space="0" w:color="auto"/>
              <w:right w:val="single" w:sz="4" w:space="0" w:color="auto"/>
            </w:tcBorders>
            <w:shd w:val="clear" w:color="auto" w:fill="BDD6EE"/>
            <w:vAlign w:val="center"/>
            <w:hideMark/>
          </w:tcPr>
          <w:p w14:paraId="4D4AC362" w14:textId="77777777" w:rsidR="0013259A" w:rsidRPr="00512BE3" w:rsidRDefault="0013259A" w:rsidP="0013259A">
            <w:pPr>
              <w:jc w:val="center"/>
              <w:rPr>
                <w:sz w:val="14"/>
                <w:szCs w:val="14"/>
                <w:lang w:val="bs-Latn-BA" w:eastAsia="en-GB"/>
              </w:rPr>
            </w:pPr>
            <w:r w:rsidRPr="00512BE3">
              <w:rPr>
                <w:sz w:val="14"/>
                <w:szCs w:val="14"/>
                <w:lang w:val="bs-Latn-BA" w:eastAsia="en-GB"/>
              </w:rPr>
              <w:t>Izdani prek. nalozi</w:t>
            </w:r>
          </w:p>
        </w:tc>
        <w:tc>
          <w:tcPr>
            <w:tcW w:w="787" w:type="dxa"/>
            <w:tcBorders>
              <w:top w:val="nil"/>
              <w:left w:val="single" w:sz="4" w:space="0" w:color="auto"/>
              <w:bottom w:val="single" w:sz="4" w:space="0" w:color="auto"/>
              <w:right w:val="single" w:sz="4" w:space="0" w:color="auto"/>
            </w:tcBorders>
            <w:shd w:val="clear" w:color="auto" w:fill="BDD6EE"/>
            <w:vAlign w:val="center"/>
            <w:hideMark/>
          </w:tcPr>
          <w:p w14:paraId="48365BF2" w14:textId="77777777" w:rsidR="0013259A" w:rsidRPr="00512BE3" w:rsidRDefault="0013259A" w:rsidP="0013259A">
            <w:pPr>
              <w:jc w:val="center"/>
              <w:rPr>
                <w:sz w:val="14"/>
                <w:szCs w:val="14"/>
                <w:lang w:val="bs-Latn-BA" w:eastAsia="en-GB"/>
              </w:rPr>
            </w:pPr>
            <w:r w:rsidRPr="00512BE3">
              <w:rPr>
                <w:sz w:val="14"/>
                <w:szCs w:val="14"/>
                <w:lang w:val="bs-Latn-BA" w:eastAsia="en-GB"/>
              </w:rPr>
              <w:t>Iznos u KM</w:t>
            </w:r>
          </w:p>
        </w:tc>
        <w:tc>
          <w:tcPr>
            <w:tcW w:w="860" w:type="dxa"/>
            <w:tcBorders>
              <w:top w:val="nil"/>
              <w:left w:val="single" w:sz="4" w:space="0" w:color="auto"/>
              <w:bottom w:val="single" w:sz="4" w:space="0" w:color="auto"/>
              <w:right w:val="single" w:sz="4" w:space="0" w:color="auto"/>
            </w:tcBorders>
            <w:shd w:val="clear" w:color="auto" w:fill="BDD6EE"/>
            <w:vAlign w:val="center"/>
            <w:hideMark/>
          </w:tcPr>
          <w:p w14:paraId="6872287B" w14:textId="77777777" w:rsidR="0013259A" w:rsidRPr="00512BE3" w:rsidRDefault="0013259A" w:rsidP="0013259A">
            <w:pPr>
              <w:jc w:val="center"/>
              <w:rPr>
                <w:sz w:val="14"/>
                <w:szCs w:val="14"/>
                <w:lang w:val="bs-Latn-BA" w:eastAsia="en-GB"/>
              </w:rPr>
            </w:pPr>
            <w:r w:rsidRPr="00512BE3">
              <w:rPr>
                <w:sz w:val="14"/>
                <w:szCs w:val="14"/>
                <w:lang w:val="bs-Latn-BA" w:eastAsia="en-GB"/>
              </w:rPr>
              <w:t>Vrijednost privremeno oduzete robe</w:t>
            </w:r>
          </w:p>
        </w:tc>
        <w:tc>
          <w:tcPr>
            <w:tcW w:w="476" w:type="dxa"/>
            <w:tcBorders>
              <w:top w:val="nil"/>
              <w:left w:val="single" w:sz="4" w:space="0" w:color="auto"/>
              <w:bottom w:val="single" w:sz="4" w:space="0" w:color="auto"/>
              <w:right w:val="single" w:sz="4" w:space="0" w:color="auto"/>
            </w:tcBorders>
            <w:shd w:val="clear" w:color="auto" w:fill="BDD6EE"/>
            <w:vAlign w:val="center"/>
            <w:hideMark/>
          </w:tcPr>
          <w:p w14:paraId="7E87E127" w14:textId="77777777" w:rsidR="0013259A" w:rsidRPr="00512BE3" w:rsidRDefault="0013259A" w:rsidP="0013259A">
            <w:pPr>
              <w:jc w:val="center"/>
              <w:rPr>
                <w:sz w:val="14"/>
                <w:szCs w:val="14"/>
                <w:lang w:val="bs-Latn-BA" w:eastAsia="en-GB"/>
              </w:rPr>
            </w:pPr>
            <w:r w:rsidRPr="00512BE3">
              <w:rPr>
                <w:sz w:val="14"/>
                <w:szCs w:val="14"/>
                <w:lang w:val="bs-Latn-BA" w:eastAsia="en-GB"/>
              </w:rPr>
              <w:t>Broj inf.</w:t>
            </w:r>
          </w:p>
        </w:tc>
        <w:tc>
          <w:tcPr>
            <w:tcW w:w="929" w:type="dxa"/>
            <w:tcBorders>
              <w:top w:val="nil"/>
              <w:left w:val="nil"/>
              <w:bottom w:val="single" w:sz="4" w:space="0" w:color="auto"/>
              <w:right w:val="single" w:sz="4" w:space="0" w:color="auto"/>
            </w:tcBorders>
            <w:shd w:val="clear" w:color="auto" w:fill="BDD6EE"/>
            <w:vAlign w:val="center"/>
            <w:hideMark/>
          </w:tcPr>
          <w:p w14:paraId="3DD599A4" w14:textId="77777777" w:rsidR="0013259A" w:rsidRPr="00512BE3" w:rsidRDefault="0013259A" w:rsidP="0013259A">
            <w:pPr>
              <w:jc w:val="center"/>
              <w:rPr>
                <w:sz w:val="14"/>
                <w:szCs w:val="14"/>
                <w:lang w:val="bs-Latn-BA" w:eastAsia="en-GB"/>
              </w:rPr>
            </w:pPr>
            <w:r w:rsidRPr="00512BE3">
              <w:rPr>
                <w:sz w:val="14"/>
                <w:szCs w:val="14"/>
                <w:lang w:val="bs-Latn-BA" w:eastAsia="en-GB"/>
              </w:rPr>
              <w:t>Učinak</w:t>
            </w:r>
          </w:p>
          <w:p w14:paraId="467407D0" w14:textId="77777777" w:rsidR="0013259A" w:rsidRPr="00512BE3" w:rsidRDefault="0013259A" w:rsidP="0013259A">
            <w:pPr>
              <w:jc w:val="center"/>
              <w:rPr>
                <w:sz w:val="14"/>
                <w:szCs w:val="14"/>
                <w:lang w:val="bs-Latn-BA" w:eastAsia="en-GB"/>
              </w:rPr>
            </w:pPr>
            <w:r w:rsidRPr="00512BE3">
              <w:rPr>
                <w:sz w:val="14"/>
                <w:szCs w:val="14"/>
                <w:lang w:val="bs-Latn-BA" w:eastAsia="en-GB"/>
              </w:rPr>
              <w:t>kontrole</w:t>
            </w:r>
          </w:p>
        </w:tc>
        <w:tc>
          <w:tcPr>
            <w:tcW w:w="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5C8B3B" w14:textId="77777777" w:rsidR="0013259A" w:rsidRPr="00512BE3" w:rsidRDefault="0013259A" w:rsidP="0013259A">
            <w:pPr>
              <w:jc w:val="center"/>
              <w:rPr>
                <w:sz w:val="14"/>
                <w:szCs w:val="14"/>
                <w:lang w:val="bs-Latn-BA" w:eastAsia="en-GB"/>
              </w:rPr>
            </w:pPr>
            <w:r w:rsidRPr="00512BE3">
              <w:rPr>
                <w:sz w:val="14"/>
                <w:szCs w:val="14"/>
                <w:lang w:val="bs-Latn-BA" w:eastAsia="en-GB"/>
              </w:rPr>
              <w:t>KM</w:t>
            </w:r>
          </w:p>
        </w:tc>
      </w:tr>
      <w:tr w:rsidR="006C4AD5" w:rsidRPr="00512BE3" w14:paraId="2DEFACB7" w14:textId="77777777" w:rsidTr="006C4AD5">
        <w:trPr>
          <w:trHeight w:val="98"/>
          <w:jc w:val="center"/>
        </w:trPr>
        <w:tc>
          <w:tcPr>
            <w:tcW w:w="635" w:type="dxa"/>
            <w:tcBorders>
              <w:top w:val="nil"/>
              <w:left w:val="single" w:sz="8" w:space="0" w:color="auto"/>
              <w:bottom w:val="single" w:sz="8" w:space="0" w:color="auto"/>
              <w:right w:val="single" w:sz="8" w:space="0" w:color="auto"/>
            </w:tcBorders>
            <w:shd w:val="clear" w:color="auto" w:fill="FFFFFF"/>
            <w:noWrap/>
            <w:vAlign w:val="center"/>
            <w:hideMark/>
          </w:tcPr>
          <w:p w14:paraId="47FC6E5D" w14:textId="77777777" w:rsidR="0013259A" w:rsidRPr="00512BE3" w:rsidRDefault="0013259A" w:rsidP="0013259A">
            <w:pPr>
              <w:spacing w:line="98" w:lineRule="atLeast"/>
              <w:jc w:val="center"/>
              <w:rPr>
                <w:sz w:val="16"/>
                <w:szCs w:val="16"/>
                <w:lang w:val="sr-Latn-BA" w:eastAsia="en-GB"/>
              </w:rPr>
            </w:pPr>
            <w:r w:rsidRPr="00512BE3">
              <w:rPr>
                <w:sz w:val="16"/>
                <w:szCs w:val="16"/>
                <w:lang w:val="bs-Latn-BA" w:eastAsia="en-GB"/>
              </w:rPr>
              <w:t>2022</w:t>
            </w:r>
          </w:p>
        </w:tc>
        <w:tc>
          <w:tcPr>
            <w:tcW w:w="474" w:type="dxa"/>
            <w:tcBorders>
              <w:top w:val="nil"/>
              <w:left w:val="nil"/>
              <w:bottom w:val="single" w:sz="8" w:space="0" w:color="auto"/>
              <w:right w:val="single" w:sz="8" w:space="0" w:color="auto"/>
            </w:tcBorders>
            <w:shd w:val="clear" w:color="auto" w:fill="FFFFFF"/>
            <w:noWrap/>
            <w:vAlign w:val="center"/>
            <w:hideMark/>
          </w:tcPr>
          <w:p w14:paraId="3A22C77E" w14:textId="77777777" w:rsidR="0013259A" w:rsidRPr="00512BE3" w:rsidRDefault="0013259A" w:rsidP="0013259A">
            <w:pPr>
              <w:spacing w:line="98" w:lineRule="atLeast"/>
              <w:jc w:val="center"/>
              <w:rPr>
                <w:sz w:val="16"/>
                <w:szCs w:val="16"/>
                <w:lang w:val="bs-Latn-BA" w:eastAsia="en-GB"/>
              </w:rPr>
            </w:pPr>
            <w:r w:rsidRPr="00512BE3">
              <w:rPr>
                <w:sz w:val="16"/>
                <w:szCs w:val="16"/>
                <w:lang w:val="bs-Latn-BA"/>
              </w:rPr>
              <w:t>11</w:t>
            </w:r>
          </w:p>
        </w:tc>
        <w:tc>
          <w:tcPr>
            <w:tcW w:w="821" w:type="dxa"/>
            <w:tcBorders>
              <w:top w:val="nil"/>
              <w:left w:val="nil"/>
              <w:bottom w:val="single" w:sz="8" w:space="0" w:color="auto"/>
              <w:right w:val="single" w:sz="8" w:space="0" w:color="auto"/>
            </w:tcBorders>
            <w:shd w:val="clear" w:color="auto" w:fill="FFFFFF"/>
            <w:noWrap/>
            <w:vAlign w:val="center"/>
            <w:hideMark/>
          </w:tcPr>
          <w:p w14:paraId="634C0137" w14:textId="77777777" w:rsidR="0013259A" w:rsidRPr="00512BE3" w:rsidRDefault="0013259A" w:rsidP="0013259A">
            <w:pPr>
              <w:spacing w:line="98" w:lineRule="atLeast"/>
              <w:jc w:val="center"/>
              <w:rPr>
                <w:sz w:val="16"/>
                <w:szCs w:val="16"/>
                <w:lang w:val="bs-Latn-BA"/>
              </w:rPr>
            </w:pPr>
            <w:r w:rsidRPr="00512BE3">
              <w:rPr>
                <w:sz w:val="16"/>
                <w:szCs w:val="16"/>
                <w:lang w:val="bs-Latn-BA"/>
              </w:rPr>
              <w:t>0</w:t>
            </w:r>
          </w:p>
        </w:tc>
        <w:tc>
          <w:tcPr>
            <w:tcW w:w="1010" w:type="dxa"/>
            <w:tcBorders>
              <w:top w:val="nil"/>
              <w:left w:val="nil"/>
              <w:bottom w:val="single" w:sz="8" w:space="0" w:color="auto"/>
              <w:right w:val="single" w:sz="8" w:space="0" w:color="auto"/>
            </w:tcBorders>
            <w:shd w:val="clear" w:color="auto" w:fill="FFFFFF"/>
            <w:noWrap/>
            <w:vAlign w:val="center"/>
            <w:hideMark/>
          </w:tcPr>
          <w:p w14:paraId="75D79004" w14:textId="77777777" w:rsidR="0013259A" w:rsidRPr="00512BE3" w:rsidRDefault="0013259A" w:rsidP="0013259A">
            <w:pPr>
              <w:spacing w:line="98" w:lineRule="atLeast"/>
              <w:jc w:val="center"/>
              <w:rPr>
                <w:sz w:val="16"/>
                <w:szCs w:val="16"/>
                <w:lang w:val="bs-Latn-BA" w:eastAsia="sr-Latn-BA"/>
              </w:rPr>
            </w:pPr>
            <w:r w:rsidRPr="00512BE3">
              <w:rPr>
                <w:sz w:val="16"/>
                <w:szCs w:val="16"/>
                <w:lang w:val="bs-Latn-BA"/>
              </w:rPr>
              <w:t>0</w:t>
            </w:r>
          </w:p>
        </w:tc>
        <w:tc>
          <w:tcPr>
            <w:tcW w:w="563" w:type="dxa"/>
            <w:tcBorders>
              <w:top w:val="nil"/>
              <w:left w:val="nil"/>
              <w:bottom w:val="single" w:sz="8" w:space="0" w:color="auto"/>
              <w:right w:val="single" w:sz="8" w:space="0" w:color="auto"/>
            </w:tcBorders>
            <w:shd w:val="clear" w:color="auto" w:fill="FFFFFF"/>
            <w:noWrap/>
            <w:vAlign w:val="center"/>
            <w:hideMark/>
          </w:tcPr>
          <w:p w14:paraId="69BCDF03" w14:textId="77777777" w:rsidR="0013259A" w:rsidRPr="00512BE3" w:rsidRDefault="0013259A" w:rsidP="0013259A">
            <w:pPr>
              <w:spacing w:line="98" w:lineRule="atLeast"/>
              <w:jc w:val="center"/>
              <w:rPr>
                <w:sz w:val="16"/>
                <w:szCs w:val="16"/>
                <w:lang w:val="bs-Latn-BA" w:eastAsia="en-GB"/>
              </w:rPr>
            </w:pPr>
            <w:r w:rsidRPr="00512BE3">
              <w:rPr>
                <w:sz w:val="16"/>
                <w:szCs w:val="16"/>
                <w:lang w:val="bs-Latn-BA"/>
              </w:rPr>
              <w:t>317</w:t>
            </w:r>
          </w:p>
        </w:tc>
        <w:tc>
          <w:tcPr>
            <w:tcW w:w="987" w:type="dxa"/>
            <w:tcBorders>
              <w:top w:val="nil"/>
              <w:left w:val="nil"/>
              <w:bottom w:val="single" w:sz="8" w:space="0" w:color="auto"/>
              <w:right w:val="single" w:sz="8" w:space="0" w:color="auto"/>
            </w:tcBorders>
            <w:shd w:val="clear" w:color="auto" w:fill="FFFFFF"/>
            <w:noWrap/>
            <w:vAlign w:val="center"/>
            <w:hideMark/>
          </w:tcPr>
          <w:p w14:paraId="0DC47625" w14:textId="77777777" w:rsidR="0013259A" w:rsidRPr="00512BE3" w:rsidRDefault="0013259A" w:rsidP="0013259A">
            <w:pPr>
              <w:spacing w:line="98" w:lineRule="atLeast"/>
              <w:jc w:val="center"/>
              <w:rPr>
                <w:sz w:val="16"/>
                <w:szCs w:val="16"/>
                <w:lang w:val="bs-Latn-BA"/>
              </w:rPr>
            </w:pPr>
            <w:r w:rsidRPr="00512BE3">
              <w:rPr>
                <w:sz w:val="16"/>
                <w:szCs w:val="16"/>
                <w:lang w:val="bs-Latn-BA"/>
              </w:rPr>
              <w:t>47</w:t>
            </w:r>
          </w:p>
        </w:tc>
        <w:tc>
          <w:tcPr>
            <w:tcW w:w="565" w:type="dxa"/>
            <w:tcBorders>
              <w:top w:val="nil"/>
              <w:left w:val="nil"/>
              <w:bottom w:val="single" w:sz="8" w:space="0" w:color="auto"/>
              <w:right w:val="single" w:sz="8" w:space="0" w:color="auto"/>
            </w:tcBorders>
            <w:shd w:val="clear" w:color="auto" w:fill="FFFFFF"/>
            <w:noWrap/>
            <w:vAlign w:val="center"/>
            <w:hideMark/>
          </w:tcPr>
          <w:p w14:paraId="44F52D2D" w14:textId="77777777" w:rsidR="0013259A" w:rsidRPr="00512BE3" w:rsidRDefault="0013259A" w:rsidP="0013259A">
            <w:pPr>
              <w:spacing w:line="98" w:lineRule="atLeast"/>
              <w:jc w:val="center"/>
              <w:rPr>
                <w:sz w:val="16"/>
                <w:szCs w:val="16"/>
                <w:lang w:val="bs-Latn-BA" w:eastAsia="sr-Latn-BA"/>
              </w:rPr>
            </w:pPr>
            <w:r w:rsidRPr="00512BE3">
              <w:rPr>
                <w:sz w:val="16"/>
                <w:szCs w:val="16"/>
                <w:lang w:val="bs-Latn-BA"/>
              </w:rPr>
              <w:t>174</w:t>
            </w:r>
          </w:p>
        </w:tc>
        <w:tc>
          <w:tcPr>
            <w:tcW w:w="787" w:type="dxa"/>
            <w:tcBorders>
              <w:top w:val="nil"/>
              <w:left w:val="nil"/>
              <w:bottom w:val="single" w:sz="8" w:space="0" w:color="auto"/>
              <w:right w:val="single" w:sz="8" w:space="0" w:color="auto"/>
            </w:tcBorders>
            <w:shd w:val="clear" w:color="auto" w:fill="FFFFFF"/>
            <w:noWrap/>
            <w:vAlign w:val="center"/>
            <w:hideMark/>
          </w:tcPr>
          <w:p w14:paraId="0CD2F8FC" w14:textId="77777777" w:rsidR="0013259A" w:rsidRPr="00512BE3" w:rsidRDefault="0013259A" w:rsidP="0013259A">
            <w:pPr>
              <w:spacing w:line="98" w:lineRule="atLeast"/>
              <w:jc w:val="center"/>
              <w:rPr>
                <w:sz w:val="16"/>
                <w:szCs w:val="16"/>
                <w:lang w:val="bs-Latn-BA"/>
              </w:rPr>
            </w:pPr>
            <w:r w:rsidRPr="00512BE3">
              <w:rPr>
                <w:sz w:val="16"/>
                <w:szCs w:val="16"/>
                <w:lang w:val="bs-Latn-BA"/>
              </w:rPr>
              <w:t>153.004</w:t>
            </w:r>
          </w:p>
        </w:tc>
        <w:tc>
          <w:tcPr>
            <w:tcW w:w="860" w:type="dxa"/>
            <w:tcBorders>
              <w:top w:val="nil"/>
              <w:left w:val="nil"/>
              <w:bottom w:val="single" w:sz="8" w:space="0" w:color="auto"/>
              <w:right w:val="single" w:sz="8" w:space="0" w:color="auto"/>
            </w:tcBorders>
            <w:shd w:val="clear" w:color="auto" w:fill="FFFFFF"/>
            <w:noWrap/>
            <w:vAlign w:val="center"/>
            <w:hideMark/>
          </w:tcPr>
          <w:p w14:paraId="14A682AA" w14:textId="77777777" w:rsidR="0013259A" w:rsidRPr="00512BE3" w:rsidRDefault="0013259A" w:rsidP="0013259A">
            <w:pPr>
              <w:spacing w:line="98" w:lineRule="atLeast"/>
              <w:jc w:val="center"/>
              <w:rPr>
                <w:sz w:val="16"/>
                <w:szCs w:val="16"/>
                <w:lang w:val="bs-Latn-BA"/>
              </w:rPr>
            </w:pPr>
            <w:r w:rsidRPr="00512BE3">
              <w:rPr>
                <w:sz w:val="16"/>
                <w:szCs w:val="16"/>
                <w:lang w:val="bs-Latn-BA"/>
              </w:rPr>
              <w:t>3.818.621</w:t>
            </w:r>
          </w:p>
        </w:tc>
        <w:tc>
          <w:tcPr>
            <w:tcW w:w="476" w:type="dxa"/>
            <w:tcBorders>
              <w:top w:val="nil"/>
              <w:left w:val="nil"/>
              <w:bottom w:val="single" w:sz="8" w:space="0" w:color="auto"/>
              <w:right w:val="single" w:sz="8" w:space="0" w:color="auto"/>
            </w:tcBorders>
            <w:shd w:val="clear" w:color="auto" w:fill="FFFFFF"/>
            <w:noWrap/>
            <w:vAlign w:val="center"/>
            <w:hideMark/>
          </w:tcPr>
          <w:p w14:paraId="52EF6031" w14:textId="77777777" w:rsidR="0013259A" w:rsidRPr="00512BE3" w:rsidRDefault="0013259A" w:rsidP="0013259A">
            <w:pPr>
              <w:spacing w:line="98" w:lineRule="atLeast"/>
              <w:jc w:val="center"/>
              <w:rPr>
                <w:sz w:val="16"/>
                <w:szCs w:val="16"/>
                <w:lang w:val="bs-Latn-BA" w:eastAsia="en-GB"/>
              </w:rPr>
            </w:pPr>
            <w:r w:rsidRPr="00512BE3">
              <w:rPr>
                <w:sz w:val="16"/>
                <w:szCs w:val="16"/>
                <w:lang w:val="bs-Latn-BA"/>
              </w:rPr>
              <w:t>446</w:t>
            </w:r>
          </w:p>
        </w:tc>
        <w:tc>
          <w:tcPr>
            <w:tcW w:w="929" w:type="dxa"/>
            <w:tcBorders>
              <w:top w:val="nil"/>
              <w:left w:val="nil"/>
              <w:bottom w:val="single" w:sz="8" w:space="0" w:color="auto"/>
              <w:right w:val="single" w:sz="8" w:space="0" w:color="auto"/>
            </w:tcBorders>
            <w:shd w:val="clear" w:color="auto" w:fill="FFFFFF"/>
            <w:noWrap/>
            <w:vAlign w:val="center"/>
            <w:hideMark/>
          </w:tcPr>
          <w:p w14:paraId="444A06A0" w14:textId="77777777" w:rsidR="0013259A" w:rsidRPr="00512BE3" w:rsidRDefault="0013259A" w:rsidP="0013259A">
            <w:pPr>
              <w:spacing w:line="98" w:lineRule="atLeast"/>
              <w:jc w:val="center"/>
              <w:rPr>
                <w:sz w:val="16"/>
                <w:szCs w:val="16"/>
                <w:lang w:val="bs-Latn-BA"/>
              </w:rPr>
            </w:pPr>
            <w:r w:rsidRPr="00512BE3">
              <w:rPr>
                <w:sz w:val="16"/>
                <w:szCs w:val="16"/>
                <w:lang w:val="bs-Latn-BA"/>
              </w:rPr>
              <w:t>1.752.857</w:t>
            </w:r>
          </w:p>
        </w:tc>
        <w:tc>
          <w:tcPr>
            <w:tcW w:w="953" w:type="dxa"/>
            <w:tcBorders>
              <w:top w:val="nil"/>
              <w:left w:val="nil"/>
              <w:bottom w:val="single" w:sz="8" w:space="0" w:color="auto"/>
              <w:right w:val="single" w:sz="8" w:space="0" w:color="auto"/>
            </w:tcBorders>
            <w:shd w:val="clear" w:color="auto" w:fill="FFFFFF"/>
            <w:noWrap/>
            <w:vAlign w:val="center"/>
            <w:hideMark/>
          </w:tcPr>
          <w:p w14:paraId="66ED0542" w14:textId="77777777" w:rsidR="0013259A" w:rsidRPr="00512BE3" w:rsidRDefault="0013259A" w:rsidP="0013259A">
            <w:pPr>
              <w:spacing w:line="98" w:lineRule="atLeast"/>
              <w:jc w:val="center"/>
              <w:rPr>
                <w:sz w:val="16"/>
                <w:szCs w:val="16"/>
                <w:lang w:val="bs-Latn-BA" w:eastAsia="en-GB"/>
              </w:rPr>
            </w:pPr>
            <w:r w:rsidRPr="00512BE3">
              <w:rPr>
                <w:sz w:val="16"/>
                <w:szCs w:val="16"/>
                <w:lang w:val="bs-Latn-BA" w:eastAsia="en-GB"/>
              </w:rPr>
              <w:t xml:space="preserve">5.724.483 </w:t>
            </w:r>
          </w:p>
        </w:tc>
      </w:tr>
      <w:tr w:rsidR="006C4AD5" w:rsidRPr="00512BE3" w14:paraId="74075D9A" w14:textId="77777777" w:rsidTr="006C4AD5">
        <w:trPr>
          <w:trHeight w:val="233"/>
          <w:jc w:val="center"/>
        </w:trPr>
        <w:tc>
          <w:tcPr>
            <w:tcW w:w="635" w:type="dxa"/>
            <w:tcBorders>
              <w:top w:val="nil"/>
              <w:left w:val="single" w:sz="8" w:space="0" w:color="auto"/>
              <w:bottom w:val="single" w:sz="8" w:space="0" w:color="auto"/>
              <w:right w:val="single" w:sz="8" w:space="0" w:color="auto"/>
            </w:tcBorders>
            <w:shd w:val="clear" w:color="auto" w:fill="FFFFFF"/>
            <w:noWrap/>
            <w:vAlign w:val="center"/>
            <w:hideMark/>
          </w:tcPr>
          <w:p w14:paraId="5EC1A5FF" w14:textId="77777777" w:rsidR="0013259A" w:rsidRPr="00512BE3" w:rsidRDefault="0013259A" w:rsidP="0013259A">
            <w:pPr>
              <w:jc w:val="center"/>
              <w:rPr>
                <w:sz w:val="16"/>
                <w:szCs w:val="16"/>
                <w:lang w:val="bs-Latn-BA" w:eastAsia="en-GB"/>
              </w:rPr>
            </w:pPr>
            <w:r w:rsidRPr="00512BE3">
              <w:rPr>
                <w:sz w:val="16"/>
                <w:szCs w:val="16"/>
                <w:lang w:val="bs-Latn-BA" w:eastAsia="en-GB"/>
              </w:rPr>
              <w:t>2021</w:t>
            </w:r>
          </w:p>
        </w:tc>
        <w:tc>
          <w:tcPr>
            <w:tcW w:w="474" w:type="dxa"/>
            <w:tcBorders>
              <w:top w:val="nil"/>
              <w:left w:val="nil"/>
              <w:bottom w:val="single" w:sz="8" w:space="0" w:color="auto"/>
              <w:right w:val="single" w:sz="8" w:space="0" w:color="auto"/>
            </w:tcBorders>
            <w:shd w:val="clear" w:color="auto" w:fill="FFFFFF"/>
            <w:noWrap/>
            <w:vAlign w:val="center"/>
            <w:hideMark/>
          </w:tcPr>
          <w:p w14:paraId="460A0659" w14:textId="77777777" w:rsidR="0013259A" w:rsidRPr="00512BE3" w:rsidRDefault="0013259A" w:rsidP="0013259A">
            <w:pPr>
              <w:jc w:val="center"/>
              <w:rPr>
                <w:sz w:val="16"/>
                <w:szCs w:val="16"/>
                <w:lang w:val="bs-Latn-BA" w:eastAsia="en-GB"/>
              </w:rPr>
            </w:pPr>
            <w:r w:rsidRPr="00512BE3">
              <w:rPr>
                <w:sz w:val="16"/>
                <w:szCs w:val="16"/>
                <w:lang w:val="bs-Latn-BA" w:eastAsia="en-GB"/>
              </w:rPr>
              <w:t>15</w:t>
            </w:r>
          </w:p>
        </w:tc>
        <w:tc>
          <w:tcPr>
            <w:tcW w:w="821" w:type="dxa"/>
            <w:tcBorders>
              <w:top w:val="nil"/>
              <w:left w:val="nil"/>
              <w:bottom w:val="single" w:sz="8" w:space="0" w:color="auto"/>
              <w:right w:val="single" w:sz="8" w:space="0" w:color="auto"/>
            </w:tcBorders>
            <w:shd w:val="clear" w:color="auto" w:fill="FFFFFF"/>
            <w:noWrap/>
            <w:vAlign w:val="center"/>
            <w:hideMark/>
          </w:tcPr>
          <w:p w14:paraId="09A24E97" w14:textId="77777777" w:rsidR="0013259A" w:rsidRPr="00512BE3" w:rsidRDefault="0013259A" w:rsidP="0013259A">
            <w:pPr>
              <w:jc w:val="center"/>
              <w:rPr>
                <w:sz w:val="16"/>
                <w:szCs w:val="16"/>
                <w:lang w:val="bs-Latn-BA" w:eastAsia="en-GB"/>
              </w:rPr>
            </w:pPr>
            <w:r w:rsidRPr="00512BE3">
              <w:rPr>
                <w:sz w:val="16"/>
                <w:szCs w:val="16"/>
                <w:lang w:val="bs-Latn-BA" w:eastAsia="en-GB"/>
              </w:rPr>
              <w:t>7</w:t>
            </w:r>
          </w:p>
        </w:tc>
        <w:tc>
          <w:tcPr>
            <w:tcW w:w="1010" w:type="dxa"/>
            <w:tcBorders>
              <w:top w:val="nil"/>
              <w:left w:val="nil"/>
              <w:bottom w:val="single" w:sz="8" w:space="0" w:color="auto"/>
              <w:right w:val="single" w:sz="8" w:space="0" w:color="auto"/>
            </w:tcBorders>
            <w:shd w:val="clear" w:color="auto" w:fill="FFFFFF"/>
            <w:noWrap/>
            <w:vAlign w:val="center"/>
            <w:hideMark/>
          </w:tcPr>
          <w:p w14:paraId="32ADAA8F" w14:textId="77777777" w:rsidR="0013259A" w:rsidRPr="00512BE3" w:rsidRDefault="0013259A" w:rsidP="0013259A">
            <w:pPr>
              <w:jc w:val="center"/>
              <w:rPr>
                <w:sz w:val="16"/>
                <w:szCs w:val="16"/>
                <w:lang w:val="bs-Latn-BA" w:eastAsia="en-GB"/>
              </w:rPr>
            </w:pPr>
            <w:r w:rsidRPr="00512BE3">
              <w:rPr>
                <w:sz w:val="16"/>
                <w:szCs w:val="16"/>
                <w:lang w:val="bs-Latn-BA" w:eastAsia="en-GB"/>
              </w:rPr>
              <w:t>19.421.619</w:t>
            </w:r>
          </w:p>
        </w:tc>
        <w:tc>
          <w:tcPr>
            <w:tcW w:w="563" w:type="dxa"/>
            <w:tcBorders>
              <w:top w:val="nil"/>
              <w:left w:val="nil"/>
              <w:bottom w:val="single" w:sz="8" w:space="0" w:color="auto"/>
              <w:right w:val="single" w:sz="8" w:space="0" w:color="auto"/>
            </w:tcBorders>
            <w:shd w:val="clear" w:color="auto" w:fill="FFFFFF"/>
            <w:noWrap/>
            <w:vAlign w:val="center"/>
            <w:hideMark/>
          </w:tcPr>
          <w:p w14:paraId="4B74F02A" w14:textId="77777777" w:rsidR="0013259A" w:rsidRPr="00512BE3" w:rsidRDefault="0013259A" w:rsidP="0013259A">
            <w:pPr>
              <w:jc w:val="center"/>
              <w:rPr>
                <w:sz w:val="16"/>
                <w:szCs w:val="16"/>
                <w:lang w:val="bs-Latn-BA" w:eastAsia="en-GB"/>
              </w:rPr>
            </w:pPr>
            <w:r w:rsidRPr="00512BE3">
              <w:rPr>
                <w:sz w:val="16"/>
                <w:szCs w:val="16"/>
                <w:lang w:val="bs-Latn-BA" w:eastAsia="en-GB"/>
              </w:rPr>
              <w:t>359</w:t>
            </w:r>
          </w:p>
        </w:tc>
        <w:tc>
          <w:tcPr>
            <w:tcW w:w="987" w:type="dxa"/>
            <w:tcBorders>
              <w:top w:val="nil"/>
              <w:left w:val="nil"/>
              <w:bottom w:val="single" w:sz="8" w:space="0" w:color="auto"/>
              <w:right w:val="single" w:sz="8" w:space="0" w:color="auto"/>
            </w:tcBorders>
            <w:shd w:val="clear" w:color="auto" w:fill="FFFFFF"/>
            <w:noWrap/>
            <w:vAlign w:val="center"/>
            <w:hideMark/>
          </w:tcPr>
          <w:p w14:paraId="602E4848" w14:textId="77777777" w:rsidR="0013259A" w:rsidRPr="00512BE3" w:rsidRDefault="0013259A" w:rsidP="0013259A">
            <w:pPr>
              <w:jc w:val="center"/>
              <w:rPr>
                <w:sz w:val="16"/>
                <w:szCs w:val="16"/>
                <w:lang w:val="bs-Latn-BA" w:eastAsia="en-GB"/>
              </w:rPr>
            </w:pPr>
            <w:r w:rsidRPr="00512BE3">
              <w:rPr>
                <w:sz w:val="16"/>
                <w:szCs w:val="16"/>
                <w:lang w:val="bs-Latn-BA" w:eastAsia="en-GB"/>
              </w:rPr>
              <w:t>78</w:t>
            </w:r>
          </w:p>
        </w:tc>
        <w:tc>
          <w:tcPr>
            <w:tcW w:w="565" w:type="dxa"/>
            <w:tcBorders>
              <w:top w:val="nil"/>
              <w:left w:val="nil"/>
              <w:bottom w:val="single" w:sz="8" w:space="0" w:color="auto"/>
              <w:right w:val="single" w:sz="8" w:space="0" w:color="auto"/>
            </w:tcBorders>
            <w:shd w:val="clear" w:color="auto" w:fill="FFFFFF"/>
            <w:noWrap/>
            <w:vAlign w:val="center"/>
            <w:hideMark/>
          </w:tcPr>
          <w:p w14:paraId="6A97E7DE" w14:textId="77777777" w:rsidR="0013259A" w:rsidRPr="00512BE3" w:rsidRDefault="0013259A" w:rsidP="0013259A">
            <w:pPr>
              <w:jc w:val="center"/>
              <w:rPr>
                <w:sz w:val="16"/>
                <w:szCs w:val="16"/>
                <w:lang w:val="bs-Latn-BA" w:eastAsia="en-GB"/>
              </w:rPr>
            </w:pPr>
            <w:r w:rsidRPr="00512BE3">
              <w:rPr>
                <w:sz w:val="16"/>
                <w:szCs w:val="16"/>
                <w:lang w:val="bs-Latn-BA" w:eastAsia="en-GB"/>
              </w:rPr>
              <w:t>179</w:t>
            </w:r>
          </w:p>
        </w:tc>
        <w:tc>
          <w:tcPr>
            <w:tcW w:w="787" w:type="dxa"/>
            <w:tcBorders>
              <w:top w:val="nil"/>
              <w:left w:val="nil"/>
              <w:bottom w:val="single" w:sz="8" w:space="0" w:color="auto"/>
              <w:right w:val="single" w:sz="8" w:space="0" w:color="auto"/>
            </w:tcBorders>
            <w:shd w:val="clear" w:color="auto" w:fill="FFFFFF"/>
            <w:noWrap/>
            <w:vAlign w:val="center"/>
            <w:hideMark/>
          </w:tcPr>
          <w:p w14:paraId="60A71733" w14:textId="77777777" w:rsidR="0013259A" w:rsidRPr="00512BE3" w:rsidRDefault="0013259A" w:rsidP="0013259A">
            <w:pPr>
              <w:jc w:val="center"/>
              <w:rPr>
                <w:sz w:val="16"/>
                <w:szCs w:val="16"/>
                <w:lang w:val="bs-Latn-BA" w:eastAsia="en-GB"/>
              </w:rPr>
            </w:pPr>
            <w:r w:rsidRPr="00512BE3">
              <w:rPr>
                <w:sz w:val="16"/>
                <w:szCs w:val="16"/>
                <w:lang w:val="bs-Latn-BA" w:eastAsia="en-GB"/>
              </w:rPr>
              <w:t>369.555</w:t>
            </w:r>
          </w:p>
        </w:tc>
        <w:tc>
          <w:tcPr>
            <w:tcW w:w="860" w:type="dxa"/>
            <w:tcBorders>
              <w:top w:val="nil"/>
              <w:left w:val="nil"/>
              <w:bottom w:val="single" w:sz="8" w:space="0" w:color="auto"/>
              <w:right w:val="single" w:sz="8" w:space="0" w:color="auto"/>
            </w:tcBorders>
            <w:shd w:val="clear" w:color="auto" w:fill="FFFFFF"/>
            <w:noWrap/>
            <w:vAlign w:val="center"/>
            <w:hideMark/>
          </w:tcPr>
          <w:p w14:paraId="0531DA6B" w14:textId="77777777" w:rsidR="0013259A" w:rsidRPr="00512BE3" w:rsidRDefault="0013259A" w:rsidP="0013259A">
            <w:pPr>
              <w:jc w:val="center"/>
              <w:rPr>
                <w:sz w:val="16"/>
                <w:szCs w:val="16"/>
                <w:lang w:val="bs-Latn-BA" w:eastAsia="en-GB"/>
              </w:rPr>
            </w:pPr>
            <w:r w:rsidRPr="00512BE3">
              <w:rPr>
                <w:sz w:val="16"/>
                <w:szCs w:val="16"/>
                <w:lang w:val="bs-Latn-BA" w:eastAsia="en-GB"/>
              </w:rPr>
              <w:t>4.289.259</w:t>
            </w:r>
          </w:p>
        </w:tc>
        <w:tc>
          <w:tcPr>
            <w:tcW w:w="476" w:type="dxa"/>
            <w:tcBorders>
              <w:top w:val="nil"/>
              <w:left w:val="nil"/>
              <w:bottom w:val="single" w:sz="8" w:space="0" w:color="auto"/>
              <w:right w:val="single" w:sz="8" w:space="0" w:color="auto"/>
            </w:tcBorders>
            <w:shd w:val="clear" w:color="auto" w:fill="FFFFFF"/>
            <w:noWrap/>
            <w:vAlign w:val="center"/>
            <w:hideMark/>
          </w:tcPr>
          <w:p w14:paraId="6494FB02" w14:textId="77777777" w:rsidR="0013259A" w:rsidRPr="00512BE3" w:rsidRDefault="0013259A" w:rsidP="0013259A">
            <w:pPr>
              <w:jc w:val="center"/>
              <w:rPr>
                <w:sz w:val="16"/>
                <w:szCs w:val="16"/>
                <w:lang w:val="bs-Latn-BA" w:eastAsia="en-GB"/>
              </w:rPr>
            </w:pPr>
            <w:r w:rsidRPr="00512BE3">
              <w:rPr>
                <w:sz w:val="16"/>
                <w:szCs w:val="16"/>
                <w:lang w:val="bs-Latn-BA" w:eastAsia="en-GB"/>
              </w:rPr>
              <w:t>414</w:t>
            </w:r>
          </w:p>
        </w:tc>
        <w:tc>
          <w:tcPr>
            <w:tcW w:w="929" w:type="dxa"/>
            <w:tcBorders>
              <w:top w:val="nil"/>
              <w:left w:val="nil"/>
              <w:bottom w:val="single" w:sz="8" w:space="0" w:color="auto"/>
              <w:right w:val="single" w:sz="8" w:space="0" w:color="auto"/>
            </w:tcBorders>
            <w:shd w:val="clear" w:color="auto" w:fill="FFFFFF"/>
            <w:noWrap/>
            <w:vAlign w:val="center"/>
            <w:hideMark/>
          </w:tcPr>
          <w:p w14:paraId="426E6826" w14:textId="77777777" w:rsidR="0013259A" w:rsidRPr="00512BE3" w:rsidRDefault="0013259A" w:rsidP="0013259A">
            <w:pPr>
              <w:jc w:val="center"/>
              <w:rPr>
                <w:sz w:val="16"/>
                <w:szCs w:val="16"/>
                <w:lang w:val="bs-Latn-BA" w:eastAsia="en-GB"/>
              </w:rPr>
            </w:pPr>
            <w:r w:rsidRPr="00512BE3">
              <w:rPr>
                <w:sz w:val="16"/>
                <w:szCs w:val="16"/>
                <w:lang w:val="bs-Latn-BA" w:eastAsia="en-GB"/>
              </w:rPr>
              <w:t>1.509.600</w:t>
            </w:r>
          </w:p>
        </w:tc>
        <w:tc>
          <w:tcPr>
            <w:tcW w:w="953" w:type="dxa"/>
            <w:tcBorders>
              <w:top w:val="nil"/>
              <w:left w:val="nil"/>
              <w:bottom w:val="single" w:sz="8" w:space="0" w:color="auto"/>
              <w:right w:val="single" w:sz="8" w:space="0" w:color="auto"/>
            </w:tcBorders>
            <w:shd w:val="clear" w:color="auto" w:fill="FFFFFF"/>
            <w:noWrap/>
            <w:vAlign w:val="center"/>
            <w:hideMark/>
          </w:tcPr>
          <w:p w14:paraId="209E4D47" w14:textId="77777777" w:rsidR="0013259A" w:rsidRPr="00512BE3" w:rsidRDefault="0013259A" w:rsidP="0013259A">
            <w:pPr>
              <w:jc w:val="center"/>
              <w:rPr>
                <w:sz w:val="16"/>
                <w:szCs w:val="16"/>
                <w:lang w:val="bs-Latn-BA" w:eastAsia="en-GB"/>
              </w:rPr>
            </w:pPr>
            <w:r w:rsidRPr="00512BE3">
              <w:rPr>
                <w:sz w:val="16"/>
                <w:szCs w:val="16"/>
                <w:lang w:val="bs-Latn-BA" w:eastAsia="en-GB"/>
              </w:rPr>
              <w:t>25.590.033</w:t>
            </w:r>
          </w:p>
        </w:tc>
      </w:tr>
    </w:tbl>
    <w:p w14:paraId="599EE1B8" w14:textId="4379948D" w:rsidR="00D75A85" w:rsidRPr="00512BE3" w:rsidRDefault="00D75A85" w:rsidP="00272474">
      <w:pPr>
        <w:pStyle w:val="Normal1"/>
        <w:spacing w:before="0" w:beforeAutospacing="0" w:after="0" w:afterAutospacing="0"/>
        <w:jc w:val="both"/>
        <w:rPr>
          <w:color w:val="FF0000"/>
          <w:sz w:val="22"/>
          <w:szCs w:val="22"/>
          <w:lang w:val="bs-Latn-BA"/>
        </w:rPr>
      </w:pPr>
    </w:p>
    <w:p w14:paraId="07316347" w14:textId="757F1480" w:rsidR="005E7893" w:rsidRPr="00A83463" w:rsidRDefault="009260A6" w:rsidP="00A83463">
      <w:pPr>
        <w:jc w:val="both"/>
        <w:rPr>
          <w:sz w:val="22"/>
          <w:lang w:val="bs-Latn-BA"/>
        </w:rPr>
      </w:pPr>
      <w:r w:rsidRPr="00512BE3">
        <w:rPr>
          <w:sz w:val="22"/>
          <w:lang w:val="bs-Latn-BA"/>
        </w:rPr>
        <w:t>U 2022. godini, Odsjek za obavještavanje i grupe za obavještavanje pri regionalnim centrima učestvovale su u realizaciji 13 operativnih akcija koje su organizovane pod pokroviteljstvom međunarodnih organizacija (INTERPOL, EUROPOL, SELEC, WCO, WTO, UNODC, Program kontrole kontejnera), naziva: „LUDUS II“ (usmjerena na borbu protiv krivotvorenih i štetnih igračaka); „OPSON XI“ (usmjerena na suzbijanje nezakonitih aktivnosti piraterije/falsifikata/vanstandardnih oblika i metoda u izradi, preradi (promjeni forme/sastava) i nedozvoljenoj trgovini hrane i pića</w:t>
      </w:r>
      <w:r w:rsidR="00741D6B" w:rsidRPr="00512BE3">
        <w:rPr>
          <w:sz w:val="22"/>
          <w:lang w:val="bs-Latn-BA"/>
        </w:rPr>
        <w:t>)</w:t>
      </w:r>
      <w:r w:rsidRPr="00512BE3">
        <w:rPr>
          <w:sz w:val="22"/>
          <w:lang w:val="bs-Latn-BA"/>
        </w:rPr>
        <w:t xml:space="preserve">; „LAKE 2021/2022“ </w:t>
      </w:r>
      <w:r w:rsidR="00741D6B" w:rsidRPr="00512BE3">
        <w:rPr>
          <w:sz w:val="22"/>
          <w:lang w:val="bs-Latn-BA"/>
        </w:rPr>
        <w:t>(</w:t>
      </w:r>
      <w:r w:rsidRPr="00512BE3">
        <w:rPr>
          <w:sz w:val="22"/>
          <w:lang w:val="bs-Latn-BA"/>
        </w:rPr>
        <w:t>usmjerena na na borbu protiv krijumčarenja staklenih jegulja</w:t>
      </w:r>
      <w:r w:rsidR="00741D6B" w:rsidRPr="00512BE3">
        <w:rPr>
          <w:sz w:val="22"/>
          <w:lang w:val="bs-Latn-BA"/>
        </w:rPr>
        <w:t>)</w:t>
      </w:r>
      <w:r w:rsidRPr="00512BE3">
        <w:rPr>
          <w:sz w:val="22"/>
          <w:lang w:val="bs-Latn-BA"/>
        </w:rPr>
        <w:t xml:space="preserve">; „DOUBLETON“ </w:t>
      </w:r>
      <w:r w:rsidR="00741D6B" w:rsidRPr="00512BE3">
        <w:rPr>
          <w:sz w:val="22"/>
          <w:lang w:val="bs-Latn-BA"/>
        </w:rPr>
        <w:t>(</w:t>
      </w:r>
      <w:r w:rsidRPr="00512BE3">
        <w:rPr>
          <w:sz w:val="22"/>
          <w:lang w:val="bs-Latn-BA"/>
        </w:rPr>
        <w:t>u cilju procjene obima evazije prihoda zbog pogrešnog svrstavanja alkoholnih pića</w:t>
      </w:r>
      <w:r w:rsidR="00741D6B" w:rsidRPr="00512BE3">
        <w:rPr>
          <w:sz w:val="22"/>
          <w:lang w:val="bs-Latn-BA"/>
        </w:rPr>
        <w:t>)</w:t>
      </w:r>
      <w:r w:rsidRPr="00512BE3">
        <w:rPr>
          <w:sz w:val="22"/>
          <w:lang w:val="bs-Latn-BA"/>
        </w:rPr>
        <w:t xml:space="preserve">; „KLAUDIUS“ </w:t>
      </w:r>
      <w:r w:rsidR="00741D6B" w:rsidRPr="00512BE3">
        <w:rPr>
          <w:sz w:val="22"/>
          <w:lang w:val="bs-Latn-BA"/>
        </w:rPr>
        <w:t>(</w:t>
      </w:r>
      <w:r w:rsidRPr="00512BE3">
        <w:rPr>
          <w:sz w:val="22"/>
          <w:lang w:val="bs-Latn-BA"/>
        </w:rPr>
        <w:t>u cilju borbe protiv nelegalnog prometa duvana i duvanskih proizvoda</w:t>
      </w:r>
      <w:r w:rsidR="00741D6B" w:rsidRPr="00512BE3">
        <w:rPr>
          <w:sz w:val="22"/>
          <w:lang w:val="bs-Latn-BA"/>
        </w:rPr>
        <w:t>)</w:t>
      </w:r>
      <w:r w:rsidRPr="00512BE3">
        <w:rPr>
          <w:sz w:val="22"/>
          <w:lang w:val="bs-Latn-BA"/>
        </w:rPr>
        <w:t xml:space="preserve">; „SHIELD III“ </w:t>
      </w:r>
      <w:r w:rsidR="00741D6B" w:rsidRPr="00512BE3">
        <w:rPr>
          <w:sz w:val="22"/>
          <w:lang w:val="bs-Latn-BA"/>
        </w:rPr>
        <w:t>(</w:t>
      </w:r>
      <w:r w:rsidRPr="00512BE3">
        <w:rPr>
          <w:sz w:val="22"/>
          <w:lang w:val="bs-Latn-BA"/>
        </w:rPr>
        <w:t>u cilju sprečavanja krijumčarenja i nedozvoljene trgovine lijekovima i medicinskim sredstvima, kao i onkološkim i hormonološkim materijalima</w:t>
      </w:r>
      <w:r w:rsidR="00741D6B" w:rsidRPr="00512BE3">
        <w:rPr>
          <w:sz w:val="22"/>
          <w:lang w:val="bs-Latn-BA"/>
        </w:rPr>
        <w:t>)</w:t>
      </w:r>
      <w:r w:rsidRPr="00512BE3">
        <w:rPr>
          <w:sz w:val="22"/>
          <w:lang w:val="bs-Latn-BA"/>
        </w:rPr>
        <w:t xml:space="preserve">; „PANGEA XV” </w:t>
      </w:r>
      <w:r w:rsidR="00741D6B" w:rsidRPr="00512BE3">
        <w:rPr>
          <w:sz w:val="22"/>
          <w:lang w:val="bs-Latn-BA"/>
        </w:rPr>
        <w:t>(</w:t>
      </w:r>
      <w:r w:rsidRPr="00512BE3">
        <w:rPr>
          <w:sz w:val="22"/>
          <w:lang w:val="bs-Latn-BA"/>
        </w:rPr>
        <w:t>usmjerena na borbu protiv farmaceutskog kriminala u kojem su uključene proizvodnja, trgovina i stavljanje u promet falsifikovanih lijekova, ukradenih ili nezakonitih lijekova i medicinskih sredstava</w:t>
      </w:r>
      <w:r w:rsidR="00741D6B" w:rsidRPr="00512BE3">
        <w:rPr>
          <w:sz w:val="22"/>
          <w:lang w:val="bs-Latn-BA"/>
        </w:rPr>
        <w:t>)</w:t>
      </w:r>
      <w:r w:rsidRPr="00512BE3">
        <w:rPr>
          <w:sz w:val="22"/>
          <w:lang w:val="bs-Latn-BA"/>
        </w:rPr>
        <w:t xml:space="preserve">; „TARA 2022“ </w:t>
      </w:r>
      <w:r w:rsidR="00741D6B" w:rsidRPr="00512BE3">
        <w:rPr>
          <w:sz w:val="22"/>
          <w:lang w:val="bs-Latn-BA"/>
        </w:rPr>
        <w:t>(</w:t>
      </w:r>
      <w:r w:rsidRPr="00512BE3">
        <w:rPr>
          <w:sz w:val="22"/>
          <w:lang w:val="bs-Latn-BA"/>
        </w:rPr>
        <w:t>usmjerene na selekcija, identifikacija, profilisanje i praćenje kretanja sumnjivih pošiljki koje se iz carinskog područja BiH upućuju u carinsko područje Crne Gore i obratno</w:t>
      </w:r>
      <w:r w:rsidR="00741D6B" w:rsidRPr="00512BE3">
        <w:rPr>
          <w:sz w:val="22"/>
          <w:lang w:val="bs-Latn-BA"/>
        </w:rPr>
        <w:t>)</w:t>
      </w:r>
      <w:r w:rsidRPr="00512BE3">
        <w:rPr>
          <w:sz w:val="22"/>
          <w:lang w:val="bs-Latn-BA"/>
        </w:rPr>
        <w:t xml:space="preserve">; „PANDORA VII“ </w:t>
      </w:r>
      <w:r w:rsidR="00741D6B" w:rsidRPr="00512BE3">
        <w:rPr>
          <w:sz w:val="22"/>
          <w:lang w:val="bs-Latn-BA"/>
        </w:rPr>
        <w:t>(</w:t>
      </w:r>
      <w:r w:rsidRPr="00512BE3">
        <w:rPr>
          <w:sz w:val="22"/>
          <w:lang w:val="bs-Latn-BA"/>
        </w:rPr>
        <w:t>koja je usmje</w:t>
      </w:r>
      <w:r w:rsidR="002722B0">
        <w:rPr>
          <w:sz w:val="22"/>
          <w:lang w:val="bs-Latn-BA"/>
        </w:rPr>
        <w:t>re</w:t>
      </w:r>
      <w:r w:rsidRPr="00512BE3">
        <w:rPr>
          <w:sz w:val="22"/>
          <w:lang w:val="bs-Latn-BA"/>
        </w:rPr>
        <w:t>na na sprečavanje krijumčarenja i nedozvoljene trgovine kulturnim dobrima</w:t>
      </w:r>
      <w:r w:rsidR="00741D6B" w:rsidRPr="00512BE3">
        <w:rPr>
          <w:sz w:val="22"/>
          <w:lang w:val="bs-Latn-BA"/>
        </w:rPr>
        <w:t>)</w:t>
      </w:r>
      <w:r w:rsidRPr="00512BE3">
        <w:rPr>
          <w:sz w:val="22"/>
          <w:lang w:val="bs-Latn-BA"/>
        </w:rPr>
        <w:t xml:space="preserve">; „RIJEKA 2022“ </w:t>
      </w:r>
      <w:r w:rsidR="00741D6B" w:rsidRPr="00512BE3">
        <w:rPr>
          <w:sz w:val="22"/>
          <w:lang w:val="bs-Latn-BA"/>
        </w:rPr>
        <w:t>(</w:t>
      </w:r>
      <w:r w:rsidRPr="00512BE3">
        <w:rPr>
          <w:sz w:val="22"/>
          <w:lang w:val="bs-Latn-BA"/>
        </w:rPr>
        <w:t>koja je usmjeena na sprečavanje krijumčarenja razne robe sa posebnim osvrtom na oružje, municiju i eksplozivne materije u drumskom prometu</w:t>
      </w:r>
      <w:r w:rsidR="00741D6B" w:rsidRPr="00512BE3">
        <w:rPr>
          <w:sz w:val="22"/>
          <w:lang w:val="bs-Latn-BA"/>
        </w:rPr>
        <w:t>)</w:t>
      </w:r>
      <w:r w:rsidRPr="00512BE3">
        <w:rPr>
          <w:sz w:val="22"/>
          <w:lang w:val="bs-Latn-BA"/>
        </w:rPr>
        <w:t xml:space="preserve">; „THUNDER 2022“ </w:t>
      </w:r>
      <w:r w:rsidR="00741D6B" w:rsidRPr="00512BE3">
        <w:rPr>
          <w:sz w:val="22"/>
          <w:lang w:val="bs-Latn-BA"/>
        </w:rPr>
        <w:t>(</w:t>
      </w:r>
      <w:r w:rsidRPr="00512BE3">
        <w:rPr>
          <w:sz w:val="22"/>
          <w:lang w:val="bs-Latn-BA"/>
        </w:rPr>
        <w:t xml:space="preserve">usmjerena na borbu protiv krijumčarenja divlje flore i faune (CITES; „FAST-AIR“ </w:t>
      </w:r>
      <w:r w:rsidR="00741D6B" w:rsidRPr="00512BE3">
        <w:rPr>
          <w:sz w:val="22"/>
          <w:lang w:val="bs-Latn-BA"/>
        </w:rPr>
        <w:t xml:space="preserve">(na </w:t>
      </w:r>
      <w:r w:rsidRPr="00512BE3">
        <w:rPr>
          <w:sz w:val="22"/>
          <w:lang w:val="bs-Latn-BA"/>
        </w:rPr>
        <w:t xml:space="preserve">operativnom nivou fokusirala </w:t>
      </w:r>
      <w:r w:rsidR="00741D6B" w:rsidRPr="00512BE3">
        <w:rPr>
          <w:sz w:val="22"/>
          <w:lang w:val="bs-Latn-BA"/>
        </w:rPr>
        <w:t xml:space="preserve">se </w:t>
      </w:r>
      <w:r w:rsidRPr="00512BE3">
        <w:rPr>
          <w:sz w:val="22"/>
          <w:lang w:val="bs-Latn-BA"/>
        </w:rPr>
        <w:t>na otkrivanje i zaustavljanje pošiljki sa zabranjenom robom - paketi koji se dostavljaju putem usluga kurirske dostave (npr. DHL, FedEx, UPS) i usluga brze pošte, kao i na razmjenu informacija o otkrivenim pošiljkama na aerodromima</w:t>
      </w:r>
      <w:r w:rsidR="00741D6B" w:rsidRPr="00512BE3">
        <w:rPr>
          <w:sz w:val="22"/>
          <w:lang w:val="bs-Latn-BA"/>
        </w:rPr>
        <w:t>).</w:t>
      </w:r>
    </w:p>
    <w:p w14:paraId="00F6790B" w14:textId="050E0DBB" w:rsidR="00CF2C5F" w:rsidRPr="00512BE3" w:rsidRDefault="00831D1F" w:rsidP="00A83463">
      <w:pPr>
        <w:spacing w:after="80"/>
        <w:ind w:firstLine="708"/>
        <w:jc w:val="both"/>
        <w:rPr>
          <w:i/>
          <w:sz w:val="22"/>
          <w:lang w:val="bs-Latn-BA"/>
        </w:rPr>
      </w:pPr>
      <w:r w:rsidRPr="00512BE3">
        <w:rPr>
          <w:sz w:val="22"/>
          <w:lang w:val="hr-BA"/>
        </w:rPr>
        <w:t>U oblasti sprečavanja krijumčarenja i prekršaja u</w:t>
      </w:r>
      <w:r w:rsidR="00C4211B" w:rsidRPr="00512BE3">
        <w:rPr>
          <w:sz w:val="22"/>
          <w:lang w:val="bs-Latn-BA"/>
        </w:rPr>
        <w:t xml:space="preserve"> 202</w:t>
      </w:r>
      <w:r w:rsidR="00BB33A8" w:rsidRPr="00512BE3">
        <w:rPr>
          <w:sz w:val="22"/>
          <w:lang w:val="bs-Latn-BA"/>
        </w:rPr>
        <w:t>2</w:t>
      </w:r>
      <w:r w:rsidRPr="00512BE3">
        <w:rPr>
          <w:sz w:val="22"/>
          <w:lang w:val="bs-Latn-BA"/>
        </w:rPr>
        <w:t xml:space="preserve">. </w:t>
      </w:r>
      <w:r w:rsidR="00C90D39" w:rsidRPr="001A2DBA">
        <w:rPr>
          <w:sz w:val="22"/>
          <w:lang w:val="bs-Latn-BA"/>
        </w:rPr>
        <w:t>g</w:t>
      </w:r>
      <w:r w:rsidRPr="001A2DBA">
        <w:rPr>
          <w:sz w:val="22"/>
          <w:lang w:val="bs-Latn-BA"/>
        </w:rPr>
        <w:t>odini</w:t>
      </w:r>
      <w:r w:rsidR="00D75A85" w:rsidRPr="001A2DBA">
        <w:rPr>
          <w:sz w:val="22"/>
          <w:lang w:val="bs-Latn-BA"/>
        </w:rPr>
        <w:t xml:space="preserve"> </w:t>
      </w:r>
      <w:r w:rsidR="00143995" w:rsidRPr="001A2DBA">
        <w:rPr>
          <w:sz w:val="22"/>
          <w:lang w:val="bs-Latn-BA"/>
        </w:rPr>
        <w:t>izdat</w:t>
      </w:r>
      <w:r w:rsidR="00311ABB" w:rsidRPr="001A2DBA">
        <w:rPr>
          <w:sz w:val="22"/>
          <w:lang w:val="bs-Latn-BA"/>
        </w:rPr>
        <w:t xml:space="preserve"> je </w:t>
      </w:r>
      <w:r w:rsidR="00BB33A8" w:rsidRPr="001A2DBA">
        <w:rPr>
          <w:sz w:val="22"/>
          <w:lang w:val="bs-Latn-BA"/>
        </w:rPr>
        <w:t>431</w:t>
      </w:r>
      <w:r w:rsidR="00143995" w:rsidRPr="001A2DBA">
        <w:rPr>
          <w:sz w:val="22"/>
          <w:lang w:val="bs-Latn-BA"/>
        </w:rPr>
        <w:t xml:space="preserve"> prekršajni nalog</w:t>
      </w:r>
      <w:r w:rsidR="00311ABB" w:rsidRPr="00512BE3">
        <w:rPr>
          <w:sz w:val="22"/>
          <w:lang w:val="bs-Latn-BA"/>
        </w:rPr>
        <w:t xml:space="preserve"> i izrečena novčana kazna u ukupnom iznosu od </w:t>
      </w:r>
      <w:r w:rsidR="00BB33A8" w:rsidRPr="00512BE3">
        <w:rPr>
          <w:sz w:val="22"/>
          <w:lang w:val="bs-Latn-BA"/>
        </w:rPr>
        <w:t>314.750</w:t>
      </w:r>
      <w:r w:rsidR="00311ABB" w:rsidRPr="00512BE3">
        <w:rPr>
          <w:sz w:val="22"/>
          <w:lang w:val="bs-Latn-BA"/>
        </w:rPr>
        <w:t xml:space="preserve"> KM, </w:t>
      </w:r>
      <w:r w:rsidR="00D75A85" w:rsidRPr="00512BE3">
        <w:rPr>
          <w:sz w:val="22"/>
          <w:lang w:val="bs-Latn-BA"/>
        </w:rPr>
        <w:t>podneseno je</w:t>
      </w:r>
      <w:r w:rsidRPr="00512BE3">
        <w:rPr>
          <w:sz w:val="22"/>
          <w:lang w:val="bs-Latn-BA"/>
        </w:rPr>
        <w:t xml:space="preserve"> </w:t>
      </w:r>
      <w:r w:rsidR="00BB33A8" w:rsidRPr="00512BE3">
        <w:rPr>
          <w:sz w:val="22"/>
          <w:lang w:val="bs-Latn-BA"/>
        </w:rPr>
        <w:t>387</w:t>
      </w:r>
      <w:r w:rsidR="00311ABB" w:rsidRPr="00512BE3">
        <w:rPr>
          <w:sz w:val="22"/>
          <w:lang w:val="bs-Latn-BA"/>
        </w:rPr>
        <w:t xml:space="preserve"> zahtjeva za pokretanje prekršajnih postupaka i privremeno oduzeta roba u vrijednosti od </w:t>
      </w:r>
      <w:r w:rsidR="00BB33A8" w:rsidRPr="00512BE3">
        <w:rPr>
          <w:sz w:val="22"/>
          <w:lang w:val="bs-Latn-BA"/>
        </w:rPr>
        <w:t>7.376.825</w:t>
      </w:r>
      <w:r w:rsidR="00311ABB" w:rsidRPr="00512BE3">
        <w:rPr>
          <w:sz w:val="22"/>
          <w:lang w:val="bs-Latn-BA"/>
        </w:rPr>
        <w:t xml:space="preserve"> KM i procijenjena vrijednost od </w:t>
      </w:r>
      <w:r w:rsidR="00BB33A8" w:rsidRPr="00512BE3">
        <w:rPr>
          <w:sz w:val="22"/>
          <w:lang w:val="bs-Latn-BA"/>
        </w:rPr>
        <w:t>456.100</w:t>
      </w:r>
      <w:r w:rsidR="00311ABB" w:rsidRPr="00512BE3">
        <w:rPr>
          <w:sz w:val="22"/>
          <w:lang w:val="bs-Latn-BA"/>
        </w:rPr>
        <w:t xml:space="preserve"> KM privremeno oduzete robe ustupljene od strane drugih organa</w:t>
      </w:r>
      <w:r w:rsidR="00CF2C5F" w:rsidRPr="00512BE3">
        <w:rPr>
          <w:sz w:val="22"/>
          <w:lang w:val="bs-Latn-BA"/>
        </w:rPr>
        <w:t>. U poređenju sa r</w:t>
      </w:r>
      <w:r w:rsidR="00311ABB" w:rsidRPr="00512BE3">
        <w:rPr>
          <w:sz w:val="22"/>
          <w:lang w:val="bs-Latn-BA"/>
        </w:rPr>
        <w:t xml:space="preserve">ezultatima </w:t>
      </w:r>
      <w:r w:rsidR="00CF2C5F" w:rsidRPr="00512BE3">
        <w:rPr>
          <w:sz w:val="22"/>
          <w:lang w:val="bs-Latn-BA"/>
        </w:rPr>
        <w:t xml:space="preserve">ostvarenim </w:t>
      </w:r>
      <w:r w:rsidR="00BB33A8" w:rsidRPr="00512BE3">
        <w:rPr>
          <w:sz w:val="22"/>
          <w:lang w:val="bs-Latn-BA"/>
        </w:rPr>
        <w:t>u 2021</w:t>
      </w:r>
      <w:r w:rsidR="00311ABB" w:rsidRPr="00512BE3">
        <w:rPr>
          <w:sz w:val="22"/>
          <w:lang w:val="bs-Latn-BA"/>
        </w:rPr>
        <w:t xml:space="preserve">. </w:t>
      </w:r>
      <w:r w:rsidR="00CF2C5F" w:rsidRPr="00512BE3">
        <w:rPr>
          <w:sz w:val="22"/>
          <w:lang w:val="bs-Latn-BA"/>
        </w:rPr>
        <w:t>g</w:t>
      </w:r>
      <w:r w:rsidR="00311ABB" w:rsidRPr="00512BE3">
        <w:rPr>
          <w:sz w:val="22"/>
          <w:lang w:val="bs-Latn-BA"/>
        </w:rPr>
        <w:t xml:space="preserve">odini evidentan je </w:t>
      </w:r>
      <w:r w:rsidR="00BB33A8" w:rsidRPr="00512BE3">
        <w:rPr>
          <w:sz w:val="22"/>
          <w:lang w:val="bs-Latn-BA"/>
        </w:rPr>
        <w:t>veći</w:t>
      </w:r>
      <w:r w:rsidR="00311ABB" w:rsidRPr="00512BE3">
        <w:rPr>
          <w:sz w:val="22"/>
          <w:lang w:val="bs-Latn-BA"/>
        </w:rPr>
        <w:t xml:space="preserve"> broj izdatih prekršajnih naloga </w:t>
      </w:r>
      <w:r w:rsidR="00CF2C5F" w:rsidRPr="00512BE3">
        <w:rPr>
          <w:sz w:val="22"/>
          <w:lang w:val="bs-Latn-BA"/>
        </w:rPr>
        <w:t xml:space="preserve">i podnesenih zahtjeva za pokretanje prekršajnih postupaka </w:t>
      </w:r>
      <w:r w:rsidR="00274A2F" w:rsidRPr="00512BE3">
        <w:rPr>
          <w:sz w:val="22"/>
          <w:lang w:val="bs-Latn-BA"/>
        </w:rPr>
        <w:t xml:space="preserve">u </w:t>
      </w:r>
      <w:r w:rsidR="00BB33A8" w:rsidRPr="00512BE3">
        <w:rPr>
          <w:sz w:val="22"/>
          <w:lang w:val="bs-Latn-BA"/>
        </w:rPr>
        <w:t>2022</w:t>
      </w:r>
      <w:r w:rsidR="00CF2C5F" w:rsidRPr="00512BE3">
        <w:rPr>
          <w:sz w:val="22"/>
          <w:lang w:val="bs-Latn-BA"/>
        </w:rPr>
        <w:t>. godini</w:t>
      </w:r>
      <w:r w:rsidR="002722B0">
        <w:rPr>
          <w:sz w:val="22"/>
          <w:lang w:val="bs-Latn-BA"/>
        </w:rPr>
        <w:t xml:space="preserve">, kao i veća vrijednost </w:t>
      </w:r>
      <w:r w:rsidR="00CF2C5F" w:rsidRPr="00512BE3">
        <w:rPr>
          <w:sz w:val="22"/>
          <w:lang w:val="bs-Latn-BA"/>
        </w:rPr>
        <w:t>privremeno oduzete robe</w:t>
      </w:r>
      <w:r w:rsidR="002722B0">
        <w:rPr>
          <w:sz w:val="22"/>
          <w:lang w:val="bs-Latn-BA"/>
        </w:rPr>
        <w:t>.</w:t>
      </w:r>
      <w:r w:rsidR="00CF2C5F" w:rsidRPr="00512BE3">
        <w:rPr>
          <w:sz w:val="22"/>
          <w:lang w:val="bs-Latn-BA"/>
        </w:rPr>
        <w:t xml:space="preserve"> </w:t>
      </w:r>
      <w:r w:rsidR="00E15C0D" w:rsidRPr="00512BE3">
        <w:rPr>
          <w:sz w:val="22"/>
          <w:lang w:val="bs-Latn-BA"/>
        </w:rPr>
        <w:t xml:space="preserve">Iz tabelarnog prikaza ispod </w:t>
      </w:r>
      <w:r w:rsidR="00215B41">
        <w:rPr>
          <w:sz w:val="22"/>
          <w:lang w:val="bs-Latn-BA"/>
        </w:rPr>
        <w:t>evidentno je</w:t>
      </w:r>
      <w:r w:rsidR="00E15C0D" w:rsidRPr="00512BE3">
        <w:rPr>
          <w:sz w:val="22"/>
          <w:lang w:val="bs-Latn-BA"/>
        </w:rPr>
        <w:t xml:space="preserve"> da je došlo do značajnog povećanja iznosa novčanih kazni po izdanim prekršajnim nalozima (61,33%), što je rezultat većeg broja izdatih prekršajnih naloga, ali i stupanja na snagu novog Zakona o carinskim prekršajima BiH  (01.08.2022. godine)</w:t>
      </w:r>
      <w:r w:rsidR="00B92316" w:rsidRPr="00512BE3">
        <w:rPr>
          <w:sz w:val="22"/>
          <w:lang w:val="bs-Latn-BA"/>
        </w:rPr>
        <w:t>.</w:t>
      </w:r>
      <w:r w:rsidR="00CF2C5F" w:rsidRPr="00512BE3">
        <w:rPr>
          <w:sz w:val="22"/>
          <w:lang w:val="bs-Latn-BA"/>
        </w:rPr>
        <w:t xml:space="preserve"> Ostvareni rezultati su iskazani u tabelarnom pregledu </w:t>
      </w:r>
      <w:r w:rsidR="009714FD" w:rsidRPr="00512BE3">
        <w:rPr>
          <w:i/>
          <w:sz w:val="22"/>
          <w:lang w:val="bs-Latn-BA"/>
        </w:rPr>
        <w:t>(Tabela 15</w:t>
      </w:r>
      <w:r w:rsidR="00CF2C5F" w:rsidRPr="00512BE3">
        <w:rPr>
          <w:i/>
          <w:sz w:val="22"/>
          <w:lang w:val="bs-Latn-BA"/>
        </w:rPr>
        <w:t>).</w:t>
      </w:r>
    </w:p>
    <w:p w14:paraId="0A8E59B7" w14:textId="77777777" w:rsidR="003E5881" w:rsidRPr="00512BE3" w:rsidRDefault="00B37D16" w:rsidP="00272474">
      <w:pPr>
        <w:jc w:val="both"/>
        <w:rPr>
          <w:b/>
          <w:i/>
          <w:sz w:val="22"/>
          <w:szCs w:val="22"/>
        </w:rPr>
      </w:pPr>
      <w:r w:rsidRPr="00512BE3">
        <w:rPr>
          <w:b/>
          <w:i/>
          <w:sz w:val="22"/>
          <w:szCs w:val="22"/>
        </w:rPr>
        <w:t>Tabela</w:t>
      </w:r>
      <w:r w:rsidR="00F20DC9" w:rsidRPr="00512BE3">
        <w:rPr>
          <w:b/>
          <w:i/>
          <w:sz w:val="22"/>
          <w:szCs w:val="22"/>
        </w:rPr>
        <w:t xml:space="preserve"> </w:t>
      </w:r>
      <w:r w:rsidR="00FD275A" w:rsidRPr="00512BE3">
        <w:rPr>
          <w:b/>
          <w:i/>
          <w:sz w:val="22"/>
          <w:szCs w:val="22"/>
        </w:rPr>
        <w:t>1</w:t>
      </w:r>
      <w:r w:rsidR="009714FD" w:rsidRPr="00512BE3">
        <w:rPr>
          <w:b/>
          <w:i/>
          <w:sz w:val="22"/>
          <w:szCs w:val="22"/>
        </w:rPr>
        <w:t>5</w:t>
      </w:r>
      <w:r w:rsidR="00F20DC9" w:rsidRPr="00512BE3">
        <w:rPr>
          <w:b/>
          <w:i/>
          <w:sz w:val="22"/>
          <w:szCs w:val="22"/>
        </w:rPr>
        <w:t>:</w:t>
      </w:r>
      <w:r w:rsidRPr="00512BE3">
        <w:rPr>
          <w:b/>
          <w:i/>
          <w:sz w:val="22"/>
          <w:szCs w:val="22"/>
        </w:rPr>
        <w:t xml:space="preserve"> </w:t>
      </w:r>
      <w:r w:rsidR="000C5080" w:rsidRPr="00512BE3">
        <w:rPr>
          <w:b/>
          <w:i/>
          <w:sz w:val="22"/>
          <w:szCs w:val="22"/>
        </w:rPr>
        <w:t xml:space="preserve">Prikaz rezultata na otkrivanju prekršaja </w:t>
      </w:r>
    </w:p>
    <w:tbl>
      <w:tblPr>
        <w:tblW w:w="4998" w:type="pct"/>
        <w:tblLayout w:type="fixed"/>
        <w:tblLook w:val="04A0" w:firstRow="1" w:lastRow="0" w:firstColumn="1" w:lastColumn="0" w:noHBand="0" w:noVBand="1"/>
      </w:tblPr>
      <w:tblGrid>
        <w:gridCol w:w="3803"/>
        <w:gridCol w:w="1051"/>
        <w:gridCol w:w="1049"/>
        <w:gridCol w:w="1491"/>
        <w:gridCol w:w="1652"/>
      </w:tblGrid>
      <w:tr w:rsidR="00E15C0D" w:rsidRPr="00512BE3" w14:paraId="64CE9E6D" w14:textId="77777777" w:rsidTr="00E15C0D">
        <w:trPr>
          <w:trHeight w:val="314"/>
        </w:trPr>
        <w:tc>
          <w:tcPr>
            <w:tcW w:w="2102" w:type="pct"/>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1214763C" w14:textId="77777777" w:rsidR="00E15C0D" w:rsidRPr="00512BE3" w:rsidRDefault="00E15C0D" w:rsidP="00E15C0D">
            <w:pPr>
              <w:jc w:val="center"/>
              <w:rPr>
                <w:b/>
                <w:bCs/>
                <w:sz w:val="20"/>
                <w:szCs w:val="22"/>
                <w:lang w:val="bs-Latn-BA" w:eastAsia="sr-Latn-BA"/>
              </w:rPr>
            </w:pPr>
            <w:r w:rsidRPr="00512BE3">
              <w:rPr>
                <w:b/>
                <w:bCs/>
                <w:sz w:val="20"/>
                <w:szCs w:val="22"/>
                <w:lang w:val="bs-Latn-BA" w:eastAsia="sr-Latn-BA"/>
              </w:rPr>
              <w:t>O P I S</w:t>
            </w:r>
          </w:p>
        </w:tc>
        <w:tc>
          <w:tcPr>
            <w:tcW w:w="581" w:type="pct"/>
            <w:tcBorders>
              <w:top w:val="single" w:sz="8" w:space="0" w:color="auto"/>
              <w:left w:val="nil"/>
              <w:bottom w:val="single" w:sz="8" w:space="0" w:color="auto"/>
              <w:right w:val="single" w:sz="4" w:space="0" w:color="auto"/>
            </w:tcBorders>
            <w:shd w:val="clear" w:color="000000" w:fill="BDD6EE"/>
            <w:vAlign w:val="center"/>
          </w:tcPr>
          <w:p w14:paraId="360895FB" w14:textId="77777777" w:rsidR="00E15C0D" w:rsidRPr="00512BE3" w:rsidRDefault="00E15C0D" w:rsidP="00E15C0D">
            <w:pPr>
              <w:jc w:val="center"/>
              <w:rPr>
                <w:b/>
                <w:bCs/>
                <w:sz w:val="20"/>
                <w:szCs w:val="22"/>
                <w:lang w:val="bs-Latn-BA" w:eastAsia="sr-Latn-BA"/>
              </w:rPr>
            </w:pPr>
            <w:r w:rsidRPr="00512BE3">
              <w:rPr>
                <w:b/>
                <w:bCs/>
                <w:sz w:val="20"/>
                <w:szCs w:val="22"/>
                <w:lang w:val="bs-Latn-BA" w:eastAsia="sr-Latn-BA"/>
              </w:rPr>
              <w:t>2021.</w:t>
            </w:r>
          </w:p>
        </w:tc>
        <w:tc>
          <w:tcPr>
            <w:tcW w:w="580" w:type="pct"/>
            <w:tcBorders>
              <w:top w:val="single" w:sz="8" w:space="0" w:color="auto"/>
              <w:left w:val="single" w:sz="4" w:space="0" w:color="auto"/>
              <w:bottom w:val="single" w:sz="8" w:space="0" w:color="auto"/>
              <w:right w:val="single" w:sz="8" w:space="0" w:color="auto"/>
            </w:tcBorders>
            <w:shd w:val="clear" w:color="000000" w:fill="BDD6EE"/>
            <w:vAlign w:val="center"/>
            <w:hideMark/>
          </w:tcPr>
          <w:p w14:paraId="026E8688" w14:textId="77777777" w:rsidR="00E15C0D" w:rsidRPr="00512BE3" w:rsidRDefault="00E15C0D" w:rsidP="00E15C0D">
            <w:pPr>
              <w:jc w:val="center"/>
              <w:rPr>
                <w:b/>
                <w:bCs/>
                <w:sz w:val="20"/>
                <w:szCs w:val="22"/>
                <w:lang w:val="bs-Latn-BA" w:eastAsia="sr-Latn-BA"/>
              </w:rPr>
            </w:pPr>
            <w:r w:rsidRPr="00512BE3">
              <w:rPr>
                <w:b/>
                <w:bCs/>
                <w:sz w:val="20"/>
                <w:szCs w:val="22"/>
                <w:lang w:val="bs-Latn-BA" w:eastAsia="sr-Latn-BA"/>
              </w:rPr>
              <w:t>2022.</w:t>
            </w:r>
          </w:p>
        </w:tc>
        <w:tc>
          <w:tcPr>
            <w:tcW w:w="824" w:type="pct"/>
            <w:tcBorders>
              <w:top w:val="single" w:sz="8" w:space="0" w:color="auto"/>
              <w:left w:val="nil"/>
              <w:bottom w:val="single" w:sz="8" w:space="0" w:color="auto"/>
              <w:right w:val="single" w:sz="8" w:space="0" w:color="auto"/>
            </w:tcBorders>
            <w:shd w:val="clear" w:color="000000" w:fill="BDD6EE"/>
            <w:vAlign w:val="center"/>
            <w:hideMark/>
          </w:tcPr>
          <w:p w14:paraId="652BBE02" w14:textId="77777777" w:rsidR="00E15C0D" w:rsidRPr="00512BE3" w:rsidRDefault="00E15C0D" w:rsidP="00E15C0D">
            <w:pPr>
              <w:jc w:val="center"/>
              <w:rPr>
                <w:b/>
                <w:bCs/>
                <w:sz w:val="20"/>
                <w:szCs w:val="22"/>
                <w:lang w:val="bs-Latn-BA" w:eastAsia="sr-Latn-BA"/>
              </w:rPr>
            </w:pPr>
            <w:r w:rsidRPr="00512BE3">
              <w:rPr>
                <w:b/>
                <w:bCs/>
                <w:sz w:val="20"/>
                <w:szCs w:val="22"/>
                <w:lang w:val="bs-Latn-BA" w:eastAsia="sr-Latn-BA"/>
              </w:rPr>
              <w:t>% pad ili rast rezultata</w:t>
            </w:r>
          </w:p>
        </w:tc>
        <w:tc>
          <w:tcPr>
            <w:tcW w:w="913" w:type="pct"/>
            <w:tcBorders>
              <w:top w:val="single" w:sz="8" w:space="0" w:color="auto"/>
              <w:left w:val="nil"/>
              <w:bottom w:val="single" w:sz="8" w:space="0" w:color="auto"/>
              <w:right w:val="single" w:sz="8" w:space="0" w:color="auto"/>
            </w:tcBorders>
            <w:shd w:val="clear" w:color="000000" w:fill="BDD6EE"/>
            <w:vAlign w:val="center"/>
          </w:tcPr>
          <w:p w14:paraId="5A25522E" w14:textId="77777777" w:rsidR="00E15C0D" w:rsidRPr="00512BE3" w:rsidRDefault="00E15C0D" w:rsidP="00E15C0D">
            <w:pPr>
              <w:jc w:val="center"/>
              <w:rPr>
                <w:b/>
                <w:bCs/>
                <w:sz w:val="20"/>
                <w:szCs w:val="22"/>
                <w:lang w:val="bs-Latn-BA" w:eastAsia="sr-Latn-BA"/>
              </w:rPr>
            </w:pPr>
            <w:r w:rsidRPr="00512BE3">
              <w:rPr>
                <w:b/>
                <w:bCs/>
                <w:sz w:val="20"/>
                <w:szCs w:val="22"/>
                <w:lang w:val="bs-Latn-BA" w:eastAsia="sr-Latn-BA"/>
              </w:rPr>
              <w:t>Napomena</w:t>
            </w:r>
          </w:p>
        </w:tc>
      </w:tr>
      <w:tr w:rsidR="00E15C0D" w:rsidRPr="00512BE3" w14:paraId="03DD1B1F" w14:textId="77777777" w:rsidTr="00E15C0D">
        <w:trPr>
          <w:trHeight w:val="280"/>
        </w:trPr>
        <w:tc>
          <w:tcPr>
            <w:tcW w:w="2102" w:type="pct"/>
            <w:tcBorders>
              <w:top w:val="nil"/>
              <w:left w:val="single" w:sz="8" w:space="0" w:color="auto"/>
              <w:bottom w:val="single" w:sz="8" w:space="0" w:color="auto"/>
              <w:right w:val="single" w:sz="8" w:space="0" w:color="auto"/>
            </w:tcBorders>
            <w:shd w:val="clear" w:color="auto" w:fill="auto"/>
            <w:vAlign w:val="center"/>
            <w:hideMark/>
          </w:tcPr>
          <w:p w14:paraId="65A0B521" w14:textId="77777777" w:rsidR="00E15C0D" w:rsidRPr="00512BE3" w:rsidRDefault="00E15C0D" w:rsidP="006F31E6">
            <w:pPr>
              <w:rPr>
                <w:sz w:val="20"/>
                <w:szCs w:val="20"/>
                <w:lang w:val="bs-Latn-BA" w:eastAsia="sr-Latn-BA"/>
              </w:rPr>
            </w:pPr>
            <w:r w:rsidRPr="00512BE3">
              <w:rPr>
                <w:sz w:val="20"/>
                <w:szCs w:val="20"/>
                <w:lang w:val="bs-Latn-BA" w:eastAsia="sr-Latn-BA"/>
              </w:rPr>
              <w:t>Broj izdatih prekršajnih naloga</w:t>
            </w:r>
          </w:p>
        </w:tc>
        <w:tc>
          <w:tcPr>
            <w:tcW w:w="581" w:type="pct"/>
            <w:tcBorders>
              <w:top w:val="nil"/>
              <w:left w:val="nil"/>
              <w:bottom w:val="single" w:sz="8" w:space="0" w:color="auto"/>
              <w:right w:val="single" w:sz="4" w:space="0" w:color="auto"/>
            </w:tcBorders>
            <w:vAlign w:val="center"/>
          </w:tcPr>
          <w:p w14:paraId="6151A4A7" w14:textId="77777777" w:rsidR="00E15C0D" w:rsidRPr="00512BE3" w:rsidRDefault="00E15C0D" w:rsidP="00E15C0D">
            <w:pPr>
              <w:jc w:val="right"/>
              <w:rPr>
                <w:sz w:val="20"/>
                <w:szCs w:val="20"/>
                <w:lang w:val="bs-Latn-BA" w:eastAsia="sr-Latn-BA"/>
              </w:rPr>
            </w:pPr>
            <w:r w:rsidRPr="00512BE3">
              <w:rPr>
                <w:sz w:val="20"/>
                <w:szCs w:val="20"/>
                <w:lang w:val="bs-Latn-BA" w:eastAsia="sr-Latn-BA"/>
              </w:rPr>
              <w:t>347</w:t>
            </w:r>
          </w:p>
        </w:tc>
        <w:tc>
          <w:tcPr>
            <w:tcW w:w="58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4268991" w14:textId="77777777" w:rsidR="00E15C0D" w:rsidRPr="00512BE3" w:rsidRDefault="00E15C0D" w:rsidP="00E15C0D">
            <w:pPr>
              <w:jc w:val="right"/>
              <w:rPr>
                <w:sz w:val="20"/>
                <w:szCs w:val="20"/>
                <w:lang w:val="bs-Latn-BA" w:eastAsia="sr-Latn-BA"/>
              </w:rPr>
            </w:pPr>
            <w:r w:rsidRPr="00512BE3">
              <w:rPr>
                <w:sz w:val="20"/>
                <w:szCs w:val="20"/>
                <w:lang w:val="bs-Latn-BA" w:eastAsia="sr-Latn-BA"/>
              </w:rPr>
              <w:t>431</w:t>
            </w:r>
          </w:p>
        </w:tc>
        <w:tc>
          <w:tcPr>
            <w:tcW w:w="824" w:type="pct"/>
            <w:tcBorders>
              <w:top w:val="nil"/>
              <w:left w:val="nil"/>
              <w:bottom w:val="single" w:sz="8" w:space="0" w:color="auto"/>
              <w:right w:val="single" w:sz="8" w:space="0" w:color="auto"/>
            </w:tcBorders>
            <w:shd w:val="clear" w:color="auto" w:fill="auto"/>
            <w:vAlign w:val="center"/>
          </w:tcPr>
          <w:p w14:paraId="25782C8F" w14:textId="77777777" w:rsidR="00E15C0D" w:rsidRPr="00512BE3" w:rsidRDefault="00E15C0D" w:rsidP="00E15C0D">
            <w:pPr>
              <w:jc w:val="center"/>
              <w:rPr>
                <w:sz w:val="20"/>
                <w:szCs w:val="20"/>
                <w:lang w:val="bs-Latn-BA"/>
              </w:rPr>
            </w:pPr>
            <w:r w:rsidRPr="00512BE3">
              <w:rPr>
                <w:sz w:val="20"/>
                <w:szCs w:val="20"/>
                <w:lang w:val="bs-Latn-BA"/>
              </w:rPr>
              <w:t>+24,21%</w:t>
            </w:r>
          </w:p>
        </w:tc>
        <w:tc>
          <w:tcPr>
            <w:tcW w:w="913" w:type="pct"/>
            <w:vMerge w:val="restart"/>
            <w:tcBorders>
              <w:top w:val="nil"/>
              <w:left w:val="nil"/>
              <w:right w:val="single" w:sz="8" w:space="0" w:color="auto"/>
            </w:tcBorders>
            <w:vAlign w:val="center"/>
          </w:tcPr>
          <w:p w14:paraId="0E523C39" w14:textId="77777777" w:rsidR="00E15C0D" w:rsidRPr="00512BE3" w:rsidRDefault="00E15C0D" w:rsidP="00E15C0D">
            <w:pPr>
              <w:ind w:left="-82"/>
              <w:jc w:val="center"/>
              <w:rPr>
                <w:sz w:val="18"/>
                <w:szCs w:val="18"/>
                <w:lang w:val="bs-Latn-BA"/>
              </w:rPr>
            </w:pPr>
            <w:r w:rsidRPr="00512BE3">
              <w:rPr>
                <w:sz w:val="18"/>
                <w:szCs w:val="18"/>
                <w:lang w:val="bs-Latn-BA"/>
              </w:rPr>
              <w:t>Obrazloženo u napomeni ispod tabele</w:t>
            </w:r>
          </w:p>
        </w:tc>
      </w:tr>
      <w:tr w:rsidR="00E15C0D" w:rsidRPr="00512BE3" w14:paraId="67F8AD86" w14:textId="77777777" w:rsidTr="00E15C0D">
        <w:trPr>
          <w:trHeight w:val="405"/>
        </w:trPr>
        <w:tc>
          <w:tcPr>
            <w:tcW w:w="2102" w:type="pct"/>
            <w:tcBorders>
              <w:top w:val="nil"/>
              <w:left w:val="single" w:sz="8" w:space="0" w:color="auto"/>
              <w:bottom w:val="single" w:sz="8" w:space="0" w:color="auto"/>
              <w:right w:val="single" w:sz="8" w:space="0" w:color="auto"/>
            </w:tcBorders>
            <w:shd w:val="clear" w:color="auto" w:fill="auto"/>
            <w:vAlign w:val="center"/>
            <w:hideMark/>
          </w:tcPr>
          <w:p w14:paraId="54662184" w14:textId="77777777" w:rsidR="00E15C0D" w:rsidRPr="00512BE3" w:rsidRDefault="00E15C0D" w:rsidP="006F31E6">
            <w:pPr>
              <w:rPr>
                <w:sz w:val="20"/>
                <w:szCs w:val="20"/>
                <w:lang w:val="bs-Latn-BA" w:eastAsia="sr-Latn-BA"/>
              </w:rPr>
            </w:pPr>
            <w:r w:rsidRPr="00512BE3">
              <w:rPr>
                <w:sz w:val="20"/>
                <w:szCs w:val="20"/>
                <w:lang w:val="bs-Latn-BA" w:eastAsia="sr-Latn-BA"/>
              </w:rPr>
              <w:t>Broj podnesenih zahtjeva za pokretanje prekršajnog postupka</w:t>
            </w:r>
          </w:p>
        </w:tc>
        <w:tc>
          <w:tcPr>
            <w:tcW w:w="581" w:type="pct"/>
            <w:tcBorders>
              <w:top w:val="nil"/>
              <w:left w:val="nil"/>
              <w:bottom w:val="single" w:sz="8" w:space="0" w:color="auto"/>
              <w:right w:val="single" w:sz="4" w:space="0" w:color="auto"/>
            </w:tcBorders>
            <w:vAlign w:val="center"/>
          </w:tcPr>
          <w:p w14:paraId="6D20BA10" w14:textId="77777777" w:rsidR="00E15C0D" w:rsidRPr="00512BE3" w:rsidRDefault="00E15C0D" w:rsidP="00E15C0D">
            <w:pPr>
              <w:jc w:val="right"/>
              <w:rPr>
                <w:sz w:val="20"/>
                <w:szCs w:val="20"/>
                <w:lang w:val="bs-Latn-BA" w:eastAsia="sr-Latn-BA"/>
              </w:rPr>
            </w:pPr>
            <w:r w:rsidRPr="00512BE3">
              <w:rPr>
                <w:sz w:val="20"/>
                <w:szCs w:val="20"/>
                <w:lang w:val="bs-Latn-BA" w:eastAsia="sr-Latn-BA"/>
              </w:rPr>
              <w:t>400</w:t>
            </w:r>
          </w:p>
        </w:tc>
        <w:tc>
          <w:tcPr>
            <w:tcW w:w="58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B8EF459" w14:textId="77777777" w:rsidR="00E15C0D" w:rsidRPr="00512BE3" w:rsidRDefault="00E15C0D" w:rsidP="00E15C0D">
            <w:pPr>
              <w:jc w:val="right"/>
              <w:rPr>
                <w:sz w:val="20"/>
                <w:szCs w:val="20"/>
                <w:lang w:val="bs-Latn-BA" w:eastAsia="sr-Latn-BA"/>
              </w:rPr>
            </w:pPr>
            <w:r w:rsidRPr="00512BE3">
              <w:rPr>
                <w:sz w:val="20"/>
                <w:szCs w:val="20"/>
                <w:lang w:val="bs-Latn-BA" w:eastAsia="sr-Latn-BA"/>
              </w:rPr>
              <w:t>387</w:t>
            </w:r>
          </w:p>
        </w:tc>
        <w:tc>
          <w:tcPr>
            <w:tcW w:w="824" w:type="pct"/>
            <w:tcBorders>
              <w:top w:val="nil"/>
              <w:left w:val="nil"/>
              <w:bottom w:val="single" w:sz="8" w:space="0" w:color="auto"/>
              <w:right w:val="single" w:sz="8" w:space="0" w:color="auto"/>
            </w:tcBorders>
            <w:shd w:val="clear" w:color="auto" w:fill="auto"/>
            <w:vAlign w:val="center"/>
          </w:tcPr>
          <w:p w14:paraId="5640A99C" w14:textId="77777777" w:rsidR="00E15C0D" w:rsidRPr="00512BE3" w:rsidRDefault="00E15C0D" w:rsidP="00E15C0D">
            <w:pPr>
              <w:jc w:val="center"/>
              <w:rPr>
                <w:sz w:val="20"/>
                <w:szCs w:val="20"/>
                <w:lang w:val="bs-Latn-BA"/>
              </w:rPr>
            </w:pPr>
            <w:r w:rsidRPr="00512BE3">
              <w:rPr>
                <w:sz w:val="20"/>
                <w:szCs w:val="20"/>
                <w:lang w:val="bs-Latn-BA"/>
              </w:rPr>
              <w:t>-3,25%</w:t>
            </w:r>
          </w:p>
        </w:tc>
        <w:tc>
          <w:tcPr>
            <w:tcW w:w="913" w:type="pct"/>
            <w:vMerge/>
            <w:tcBorders>
              <w:left w:val="nil"/>
              <w:right w:val="single" w:sz="8" w:space="0" w:color="auto"/>
            </w:tcBorders>
            <w:vAlign w:val="center"/>
          </w:tcPr>
          <w:p w14:paraId="09B7B71E" w14:textId="77777777" w:rsidR="00E15C0D" w:rsidRPr="00512BE3" w:rsidRDefault="00E15C0D" w:rsidP="00E15C0D">
            <w:pPr>
              <w:ind w:left="-82"/>
              <w:jc w:val="center"/>
              <w:rPr>
                <w:sz w:val="22"/>
                <w:szCs w:val="22"/>
                <w:lang w:val="bs-Latn-BA"/>
              </w:rPr>
            </w:pPr>
          </w:p>
        </w:tc>
      </w:tr>
      <w:tr w:rsidR="00E15C0D" w:rsidRPr="00512BE3" w14:paraId="690376ED" w14:textId="77777777" w:rsidTr="00E15C0D">
        <w:trPr>
          <w:trHeight w:val="399"/>
        </w:trPr>
        <w:tc>
          <w:tcPr>
            <w:tcW w:w="2102" w:type="pct"/>
            <w:tcBorders>
              <w:top w:val="single" w:sz="8" w:space="0" w:color="auto"/>
              <w:left w:val="single" w:sz="8" w:space="0" w:color="auto"/>
              <w:bottom w:val="single" w:sz="8" w:space="0" w:color="auto"/>
              <w:right w:val="single" w:sz="8" w:space="0" w:color="auto"/>
            </w:tcBorders>
            <w:shd w:val="clear" w:color="auto" w:fill="DBE5F1"/>
            <w:vAlign w:val="center"/>
          </w:tcPr>
          <w:p w14:paraId="4A25CD4A" w14:textId="77777777" w:rsidR="00E15C0D" w:rsidRPr="00512BE3" w:rsidRDefault="00E15C0D" w:rsidP="006F31E6">
            <w:pPr>
              <w:rPr>
                <w:sz w:val="20"/>
                <w:szCs w:val="20"/>
                <w:lang w:val="bs-Latn-BA" w:eastAsia="sr-Latn-BA"/>
              </w:rPr>
            </w:pPr>
            <w:r w:rsidRPr="00512BE3">
              <w:rPr>
                <w:sz w:val="20"/>
                <w:szCs w:val="20"/>
                <w:lang w:val="bs-Latn-BA" w:eastAsia="sr-Latn-BA"/>
              </w:rPr>
              <w:t>UKUPNO (prekršajno postupanje)</w:t>
            </w:r>
          </w:p>
        </w:tc>
        <w:tc>
          <w:tcPr>
            <w:tcW w:w="581" w:type="pct"/>
            <w:tcBorders>
              <w:top w:val="single" w:sz="8" w:space="0" w:color="auto"/>
              <w:left w:val="nil"/>
              <w:bottom w:val="single" w:sz="8" w:space="0" w:color="auto"/>
              <w:right w:val="single" w:sz="4" w:space="0" w:color="auto"/>
            </w:tcBorders>
            <w:shd w:val="clear" w:color="auto" w:fill="DBE5F1"/>
            <w:vAlign w:val="center"/>
          </w:tcPr>
          <w:p w14:paraId="27416108" w14:textId="77777777" w:rsidR="00E15C0D" w:rsidRPr="00512BE3" w:rsidRDefault="00E15C0D" w:rsidP="00E15C0D">
            <w:pPr>
              <w:jc w:val="right"/>
              <w:rPr>
                <w:sz w:val="20"/>
                <w:szCs w:val="20"/>
                <w:lang w:val="bs-Latn-BA" w:eastAsia="sr-Latn-BA"/>
              </w:rPr>
            </w:pPr>
            <w:r w:rsidRPr="00512BE3">
              <w:rPr>
                <w:sz w:val="20"/>
                <w:szCs w:val="20"/>
                <w:lang w:val="bs-Latn-BA" w:eastAsia="sr-Latn-BA"/>
              </w:rPr>
              <w:t>747</w:t>
            </w:r>
          </w:p>
        </w:tc>
        <w:tc>
          <w:tcPr>
            <w:tcW w:w="580" w:type="pct"/>
            <w:tcBorders>
              <w:top w:val="single" w:sz="8" w:space="0" w:color="auto"/>
              <w:left w:val="single" w:sz="4" w:space="0" w:color="auto"/>
              <w:bottom w:val="single" w:sz="8" w:space="0" w:color="auto"/>
              <w:right w:val="single" w:sz="8" w:space="0" w:color="auto"/>
            </w:tcBorders>
            <w:shd w:val="clear" w:color="auto" w:fill="DBE5F1"/>
            <w:noWrap/>
            <w:vAlign w:val="center"/>
          </w:tcPr>
          <w:p w14:paraId="12343EE2" w14:textId="77777777" w:rsidR="00E15C0D" w:rsidRPr="00512BE3" w:rsidRDefault="00E15C0D" w:rsidP="00E15C0D">
            <w:pPr>
              <w:jc w:val="right"/>
              <w:rPr>
                <w:sz w:val="20"/>
                <w:szCs w:val="20"/>
                <w:lang w:val="bs-Latn-BA" w:eastAsia="sr-Latn-BA"/>
              </w:rPr>
            </w:pPr>
            <w:r w:rsidRPr="00512BE3">
              <w:rPr>
                <w:sz w:val="20"/>
                <w:szCs w:val="20"/>
                <w:lang w:val="bs-Latn-BA" w:eastAsia="sr-Latn-BA"/>
              </w:rPr>
              <w:t>818</w:t>
            </w:r>
          </w:p>
        </w:tc>
        <w:tc>
          <w:tcPr>
            <w:tcW w:w="824" w:type="pct"/>
            <w:tcBorders>
              <w:top w:val="single" w:sz="8" w:space="0" w:color="auto"/>
              <w:left w:val="nil"/>
              <w:bottom w:val="single" w:sz="8" w:space="0" w:color="auto"/>
              <w:right w:val="single" w:sz="8" w:space="0" w:color="auto"/>
            </w:tcBorders>
            <w:shd w:val="clear" w:color="auto" w:fill="DBE5F1"/>
            <w:vAlign w:val="center"/>
          </w:tcPr>
          <w:p w14:paraId="795D28CF" w14:textId="77777777" w:rsidR="00E15C0D" w:rsidRPr="00512BE3" w:rsidRDefault="00E15C0D" w:rsidP="00E15C0D">
            <w:pPr>
              <w:jc w:val="center"/>
              <w:rPr>
                <w:sz w:val="20"/>
                <w:szCs w:val="20"/>
                <w:lang w:val="bs-Latn-BA"/>
              </w:rPr>
            </w:pPr>
            <w:r w:rsidRPr="00512BE3">
              <w:rPr>
                <w:sz w:val="20"/>
                <w:szCs w:val="20"/>
                <w:lang w:val="bs-Latn-BA"/>
              </w:rPr>
              <w:t>+9,50%</w:t>
            </w:r>
          </w:p>
        </w:tc>
        <w:tc>
          <w:tcPr>
            <w:tcW w:w="913" w:type="pct"/>
            <w:vMerge/>
            <w:tcBorders>
              <w:left w:val="nil"/>
              <w:bottom w:val="single" w:sz="8" w:space="0" w:color="auto"/>
              <w:right w:val="single" w:sz="8" w:space="0" w:color="auto"/>
            </w:tcBorders>
            <w:shd w:val="clear" w:color="auto" w:fill="DBE5F1"/>
            <w:vAlign w:val="center"/>
          </w:tcPr>
          <w:p w14:paraId="05F37CB2" w14:textId="77777777" w:rsidR="00E15C0D" w:rsidRPr="00512BE3" w:rsidRDefault="00E15C0D" w:rsidP="00E15C0D">
            <w:pPr>
              <w:ind w:left="-82"/>
              <w:jc w:val="center"/>
              <w:rPr>
                <w:sz w:val="22"/>
                <w:szCs w:val="22"/>
                <w:lang w:val="bs-Latn-BA"/>
              </w:rPr>
            </w:pPr>
          </w:p>
        </w:tc>
      </w:tr>
      <w:tr w:rsidR="00E15C0D" w:rsidRPr="00512BE3" w14:paraId="4F65EE27" w14:textId="77777777" w:rsidTr="00E15C0D">
        <w:trPr>
          <w:trHeight w:val="399"/>
        </w:trPr>
        <w:tc>
          <w:tcPr>
            <w:tcW w:w="2102" w:type="pct"/>
            <w:tcBorders>
              <w:top w:val="nil"/>
              <w:left w:val="single" w:sz="8" w:space="0" w:color="auto"/>
              <w:bottom w:val="single" w:sz="8" w:space="0" w:color="auto"/>
              <w:right w:val="single" w:sz="8" w:space="0" w:color="auto"/>
            </w:tcBorders>
            <w:shd w:val="clear" w:color="auto" w:fill="auto"/>
            <w:vAlign w:val="center"/>
            <w:hideMark/>
          </w:tcPr>
          <w:p w14:paraId="44F66021" w14:textId="77777777" w:rsidR="00E15C0D" w:rsidRPr="00512BE3" w:rsidRDefault="00E15C0D" w:rsidP="006F31E6">
            <w:pPr>
              <w:rPr>
                <w:sz w:val="20"/>
                <w:szCs w:val="20"/>
                <w:lang w:val="bs-Latn-BA" w:eastAsia="sr-Latn-BA"/>
              </w:rPr>
            </w:pPr>
            <w:r w:rsidRPr="00512BE3">
              <w:rPr>
                <w:sz w:val="20"/>
                <w:szCs w:val="20"/>
                <w:lang w:val="bs-Latn-BA" w:eastAsia="sr-Latn-BA"/>
              </w:rPr>
              <w:lastRenderedPageBreak/>
              <w:t>Iznos novčane kazne po izdanim prekršajnim nalozima (KM)</w:t>
            </w:r>
          </w:p>
        </w:tc>
        <w:tc>
          <w:tcPr>
            <w:tcW w:w="581" w:type="pct"/>
            <w:tcBorders>
              <w:top w:val="nil"/>
              <w:left w:val="nil"/>
              <w:bottom w:val="single" w:sz="8" w:space="0" w:color="auto"/>
              <w:right w:val="single" w:sz="4" w:space="0" w:color="auto"/>
            </w:tcBorders>
            <w:vAlign w:val="center"/>
          </w:tcPr>
          <w:p w14:paraId="3AD29965" w14:textId="77777777" w:rsidR="00E15C0D" w:rsidRPr="00512BE3" w:rsidRDefault="00E15C0D" w:rsidP="00E15C0D">
            <w:pPr>
              <w:jc w:val="right"/>
              <w:rPr>
                <w:sz w:val="20"/>
                <w:szCs w:val="20"/>
                <w:lang w:val="bs-Latn-BA" w:eastAsia="sr-Latn-BA"/>
              </w:rPr>
            </w:pPr>
            <w:r w:rsidRPr="00512BE3">
              <w:rPr>
                <w:sz w:val="20"/>
                <w:szCs w:val="20"/>
                <w:lang w:val="bs-Latn-BA" w:eastAsia="sr-Latn-BA"/>
              </w:rPr>
              <w:t>195.100</w:t>
            </w:r>
          </w:p>
        </w:tc>
        <w:tc>
          <w:tcPr>
            <w:tcW w:w="58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3C539581" w14:textId="77777777" w:rsidR="00E15C0D" w:rsidRPr="00512BE3" w:rsidRDefault="00E15C0D" w:rsidP="00E15C0D">
            <w:pPr>
              <w:jc w:val="right"/>
              <w:rPr>
                <w:sz w:val="20"/>
                <w:szCs w:val="20"/>
                <w:lang w:val="bs-Latn-BA" w:eastAsia="sr-Latn-BA"/>
              </w:rPr>
            </w:pPr>
            <w:r w:rsidRPr="00512BE3">
              <w:rPr>
                <w:sz w:val="20"/>
                <w:szCs w:val="20"/>
                <w:lang w:val="bs-Latn-BA" w:eastAsia="sr-Latn-BA"/>
              </w:rPr>
              <w:t>314.750</w:t>
            </w:r>
          </w:p>
        </w:tc>
        <w:tc>
          <w:tcPr>
            <w:tcW w:w="824" w:type="pct"/>
            <w:tcBorders>
              <w:top w:val="nil"/>
              <w:left w:val="nil"/>
              <w:bottom w:val="single" w:sz="8" w:space="0" w:color="auto"/>
              <w:right w:val="single" w:sz="8" w:space="0" w:color="auto"/>
            </w:tcBorders>
            <w:shd w:val="clear" w:color="auto" w:fill="auto"/>
            <w:vAlign w:val="center"/>
          </w:tcPr>
          <w:p w14:paraId="6D9B3939" w14:textId="77777777" w:rsidR="00E15C0D" w:rsidRPr="00512BE3" w:rsidRDefault="00E15C0D" w:rsidP="00E15C0D">
            <w:pPr>
              <w:jc w:val="center"/>
              <w:rPr>
                <w:sz w:val="20"/>
                <w:szCs w:val="20"/>
                <w:lang w:val="bs-Latn-BA"/>
              </w:rPr>
            </w:pPr>
            <w:r w:rsidRPr="00512BE3">
              <w:rPr>
                <w:sz w:val="20"/>
                <w:szCs w:val="20"/>
                <w:lang w:val="bs-Latn-BA"/>
              </w:rPr>
              <w:t>+61,33%</w:t>
            </w:r>
          </w:p>
        </w:tc>
        <w:tc>
          <w:tcPr>
            <w:tcW w:w="913" w:type="pct"/>
            <w:tcBorders>
              <w:top w:val="nil"/>
              <w:left w:val="nil"/>
              <w:bottom w:val="single" w:sz="8" w:space="0" w:color="auto"/>
              <w:right w:val="single" w:sz="8" w:space="0" w:color="auto"/>
            </w:tcBorders>
            <w:vAlign w:val="center"/>
          </w:tcPr>
          <w:p w14:paraId="76EF24DB" w14:textId="77777777" w:rsidR="00E15C0D" w:rsidRPr="00512BE3" w:rsidRDefault="00E15C0D" w:rsidP="00E15C0D">
            <w:pPr>
              <w:ind w:left="-82"/>
              <w:jc w:val="center"/>
              <w:rPr>
                <w:sz w:val="22"/>
                <w:szCs w:val="22"/>
                <w:lang w:val="bs-Latn-BA"/>
              </w:rPr>
            </w:pPr>
            <w:r w:rsidRPr="00512BE3">
              <w:rPr>
                <w:sz w:val="18"/>
                <w:szCs w:val="18"/>
                <w:lang w:val="bs-Latn-BA"/>
              </w:rPr>
              <w:t>Obrazloženo u napomeni ispod tabele</w:t>
            </w:r>
          </w:p>
        </w:tc>
      </w:tr>
      <w:tr w:rsidR="00E15C0D" w:rsidRPr="00512BE3" w14:paraId="1B3E3C7F" w14:textId="77777777" w:rsidTr="00E15C0D">
        <w:trPr>
          <w:trHeight w:val="397"/>
        </w:trPr>
        <w:tc>
          <w:tcPr>
            <w:tcW w:w="2102" w:type="pct"/>
            <w:tcBorders>
              <w:top w:val="nil"/>
              <w:left w:val="single" w:sz="8" w:space="0" w:color="auto"/>
              <w:bottom w:val="single" w:sz="8" w:space="0" w:color="auto"/>
              <w:right w:val="single" w:sz="8" w:space="0" w:color="auto"/>
            </w:tcBorders>
            <w:shd w:val="clear" w:color="auto" w:fill="auto"/>
            <w:vAlign w:val="center"/>
            <w:hideMark/>
          </w:tcPr>
          <w:p w14:paraId="146E2D1B" w14:textId="77777777" w:rsidR="00E15C0D" w:rsidRPr="00512BE3" w:rsidRDefault="00E15C0D" w:rsidP="006F31E6">
            <w:pPr>
              <w:rPr>
                <w:sz w:val="20"/>
                <w:szCs w:val="20"/>
                <w:lang w:val="bs-Latn-BA" w:eastAsia="sr-Latn-BA"/>
              </w:rPr>
            </w:pPr>
            <w:r w:rsidRPr="00512BE3">
              <w:rPr>
                <w:sz w:val="20"/>
                <w:szCs w:val="20"/>
                <w:lang w:val="bs-Latn-BA" w:eastAsia="sr-Latn-BA"/>
              </w:rPr>
              <w:t>Vrijednost privremeno oduzete robe (KM) - bez protivvrijednosti robe oduzete po rješenjima Suda</w:t>
            </w:r>
          </w:p>
        </w:tc>
        <w:tc>
          <w:tcPr>
            <w:tcW w:w="581" w:type="pct"/>
            <w:tcBorders>
              <w:top w:val="nil"/>
              <w:left w:val="nil"/>
              <w:bottom w:val="single" w:sz="8" w:space="0" w:color="auto"/>
              <w:right w:val="single" w:sz="4" w:space="0" w:color="auto"/>
            </w:tcBorders>
            <w:vAlign w:val="center"/>
          </w:tcPr>
          <w:p w14:paraId="61C51D9A" w14:textId="77777777" w:rsidR="00E15C0D" w:rsidRPr="00512BE3" w:rsidRDefault="00E15C0D" w:rsidP="00E15C0D">
            <w:pPr>
              <w:jc w:val="right"/>
              <w:rPr>
                <w:sz w:val="20"/>
                <w:szCs w:val="20"/>
                <w:lang w:val="bs-Latn-BA" w:eastAsia="sr-Latn-BA"/>
              </w:rPr>
            </w:pPr>
            <w:r w:rsidRPr="00512BE3">
              <w:rPr>
                <w:sz w:val="20"/>
                <w:szCs w:val="20"/>
                <w:lang w:val="bs-Latn-BA" w:eastAsia="sr-Latn-BA"/>
              </w:rPr>
              <w:t>8.840.233</w:t>
            </w:r>
          </w:p>
        </w:tc>
        <w:tc>
          <w:tcPr>
            <w:tcW w:w="58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620D9102" w14:textId="77777777" w:rsidR="00E15C0D" w:rsidRPr="00512BE3" w:rsidRDefault="00E15C0D" w:rsidP="00E15C0D">
            <w:pPr>
              <w:jc w:val="right"/>
              <w:rPr>
                <w:sz w:val="20"/>
                <w:szCs w:val="20"/>
                <w:lang w:val="bs-Latn-BA" w:eastAsia="sr-Latn-BA"/>
              </w:rPr>
            </w:pPr>
            <w:r w:rsidRPr="00512BE3">
              <w:rPr>
                <w:sz w:val="20"/>
                <w:szCs w:val="20"/>
                <w:lang w:val="bs-Latn-BA" w:eastAsia="sr-Latn-BA"/>
              </w:rPr>
              <w:t>7.376.825</w:t>
            </w:r>
          </w:p>
        </w:tc>
        <w:tc>
          <w:tcPr>
            <w:tcW w:w="824" w:type="pct"/>
            <w:tcBorders>
              <w:top w:val="nil"/>
              <w:left w:val="nil"/>
              <w:bottom w:val="single" w:sz="8" w:space="0" w:color="auto"/>
              <w:right w:val="single" w:sz="8" w:space="0" w:color="auto"/>
            </w:tcBorders>
            <w:shd w:val="clear" w:color="auto" w:fill="auto"/>
            <w:vAlign w:val="center"/>
          </w:tcPr>
          <w:p w14:paraId="3D80E16E" w14:textId="77777777" w:rsidR="00E15C0D" w:rsidRPr="00512BE3" w:rsidRDefault="00E15C0D" w:rsidP="00E15C0D">
            <w:pPr>
              <w:jc w:val="center"/>
              <w:rPr>
                <w:sz w:val="20"/>
                <w:szCs w:val="20"/>
                <w:lang w:val="bs-Latn-BA"/>
              </w:rPr>
            </w:pPr>
            <w:r w:rsidRPr="00512BE3">
              <w:rPr>
                <w:sz w:val="20"/>
                <w:szCs w:val="20"/>
                <w:lang w:val="bs-Latn-BA"/>
              </w:rPr>
              <w:t>-16,55%</w:t>
            </w:r>
          </w:p>
        </w:tc>
        <w:tc>
          <w:tcPr>
            <w:tcW w:w="913" w:type="pct"/>
            <w:tcBorders>
              <w:top w:val="nil"/>
              <w:left w:val="nil"/>
              <w:bottom w:val="single" w:sz="8" w:space="0" w:color="auto"/>
              <w:right w:val="single" w:sz="8" w:space="0" w:color="auto"/>
            </w:tcBorders>
            <w:vAlign w:val="center"/>
          </w:tcPr>
          <w:p w14:paraId="1454FB6D" w14:textId="77777777" w:rsidR="00E15C0D" w:rsidRPr="00512BE3" w:rsidRDefault="00E15C0D" w:rsidP="00E15C0D">
            <w:pPr>
              <w:ind w:left="-82"/>
              <w:jc w:val="center"/>
              <w:rPr>
                <w:sz w:val="16"/>
                <w:szCs w:val="16"/>
                <w:lang w:val="bs-Latn-BA"/>
              </w:rPr>
            </w:pPr>
            <w:r w:rsidRPr="00512BE3">
              <w:rPr>
                <w:sz w:val="18"/>
                <w:szCs w:val="18"/>
                <w:lang w:val="bs-Latn-BA"/>
              </w:rPr>
              <w:t>Obrazloženo u napomeni ispod tabele</w:t>
            </w:r>
          </w:p>
        </w:tc>
      </w:tr>
      <w:tr w:rsidR="00E15C0D" w:rsidRPr="00512BE3" w14:paraId="061D3B38" w14:textId="77777777" w:rsidTr="00E15C0D">
        <w:trPr>
          <w:trHeight w:val="695"/>
        </w:trPr>
        <w:tc>
          <w:tcPr>
            <w:tcW w:w="2102" w:type="pct"/>
            <w:tcBorders>
              <w:top w:val="nil"/>
              <w:left w:val="single" w:sz="8" w:space="0" w:color="auto"/>
              <w:bottom w:val="single" w:sz="8" w:space="0" w:color="auto"/>
              <w:right w:val="single" w:sz="8" w:space="0" w:color="auto"/>
            </w:tcBorders>
            <w:shd w:val="clear" w:color="auto" w:fill="auto"/>
            <w:vAlign w:val="center"/>
            <w:hideMark/>
          </w:tcPr>
          <w:p w14:paraId="3DA39AF2" w14:textId="77777777" w:rsidR="00E15C0D" w:rsidRPr="00512BE3" w:rsidRDefault="00E15C0D" w:rsidP="006F31E6">
            <w:pPr>
              <w:rPr>
                <w:sz w:val="22"/>
                <w:szCs w:val="22"/>
                <w:lang w:val="bs-Latn-BA" w:eastAsia="sr-Latn-BA"/>
              </w:rPr>
            </w:pPr>
            <w:r w:rsidRPr="00512BE3">
              <w:rPr>
                <w:sz w:val="18"/>
                <w:szCs w:val="18"/>
                <w:lang w:val="bs-Latn-BA" w:eastAsia="sr-Latn-BA"/>
              </w:rPr>
              <w:t>Vrijednost privremeno oduzete robe (narkotička sredstva, intelektualna svojina i dr.) od strane drugih org.jedinica UIO ili drugih agencija - ustupljene od grupa za sprečavanje krijumčarenja i prekršaja (KM</w:t>
            </w:r>
            <w:r w:rsidRPr="00512BE3">
              <w:rPr>
                <w:sz w:val="22"/>
                <w:szCs w:val="22"/>
                <w:lang w:val="bs-Latn-BA" w:eastAsia="sr-Latn-BA"/>
              </w:rPr>
              <w:t>)</w:t>
            </w:r>
          </w:p>
        </w:tc>
        <w:tc>
          <w:tcPr>
            <w:tcW w:w="581" w:type="pct"/>
            <w:tcBorders>
              <w:top w:val="nil"/>
              <w:left w:val="nil"/>
              <w:bottom w:val="single" w:sz="8" w:space="0" w:color="auto"/>
              <w:right w:val="single" w:sz="4" w:space="0" w:color="auto"/>
            </w:tcBorders>
            <w:vAlign w:val="center"/>
          </w:tcPr>
          <w:p w14:paraId="487C0257" w14:textId="77777777" w:rsidR="00E15C0D" w:rsidRPr="00512BE3" w:rsidRDefault="00E15C0D" w:rsidP="00E15C0D">
            <w:pPr>
              <w:jc w:val="right"/>
              <w:rPr>
                <w:sz w:val="20"/>
                <w:szCs w:val="20"/>
                <w:lang w:val="bs-Latn-BA" w:eastAsia="sr-Latn-BA"/>
              </w:rPr>
            </w:pPr>
            <w:r w:rsidRPr="00512BE3">
              <w:rPr>
                <w:sz w:val="20"/>
                <w:szCs w:val="20"/>
                <w:lang w:val="bs-Latn-BA" w:eastAsia="sr-Latn-BA"/>
              </w:rPr>
              <w:t>3.133.894</w:t>
            </w:r>
          </w:p>
        </w:tc>
        <w:tc>
          <w:tcPr>
            <w:tcW w:w="58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5872A7EF" w14:textId="77777777" w:rsidR="00E15C0D" w:rsidRPr="00512BE3" w:rsidRDefault="00E15C0D" w:rsidP="00E15C0D">
            <w:pPr>
              <w:jc w:val="right"/>
              <w:rPr>
                <w:sz w:val="20"/>
                <w:szCs w:val="20"/>
                <w:lang w:val="bs-Latn-BA" w:eastAsia="sr-Latn-BA"/>
              </w:rPr>
            </w:pPr>
            <w:r w:rsidRPr="00512BE3">
              <w:rPr>
                <w:sz w:val="20"/>
                <w:szCs w:val="20"/>
                <w:lang w:val="bs-Latn-BA" w:eastAsia="sr-Latn-BA"/>
              </w:rPr>
              <w:t>456.100</w:t>
            </w:r>
          </w:p>
        </w:tc>
        <w:tc>
          <w:tcPr>
            <w:tcW w:w="824" w:type="pct"/>
            <w:tcBorders>
              <w:top w:val="nil"/>
              <w:left w:val="nil"/>
              <w:bottom w:val="single" w:sz="8" w:space="0" w:color="auto"/>
              <w:right w:val="single" w:sz="8" w:space="0" w:color="auto"/>
            </w:tcBorders>
            <w:shd w:val="clear" w:color="auto" w:fill="auto"/>
            <w:vAlign w:val="center"/>
          </w:tcPr>
          <w:p w14:paraId="41A15DFB" w14:textId="77777777" w:rsidR="00E15C0D" w:rsidRPr="00512BE3" w:rsidRDefault="00E15C0D" w:rsidP="00E15C0D">
            <w:pPr>
              <w:jc w:val="center"/>
              <w:rPr>
                <w:sz w:val="20"/>
                <w:szCs w:val="20"/>
                <w:lang w:val="bs-Latn-BA" w:eastAsia="sr-Latn-BA"/>
              </w:rPr>
            </w:pPr>
            <w:r w:rsidRPr="00512BE3">
              <w:rPr>
                <w:sz w:val="20"/>
                <w:szCs w:val="20"/>
                <w:lang w:val="bs-Latn-BA" w:eastAsia="sr-Latn-BA"/>
              </w:rPr>
              <w:t>-85,45%</w:t>
            </w:r>
          </w:p>
        </w:tc>
        <w:tc>
          <w:tcPr>
            <w:tcW w:w="913" w:type="pct"/>
            <w:tcBorders>
              <w:top w:val="nil"/>
              <w:left w:val="nil"/>
              <w:bottom w:val="single" w:sz="8" w:space="0" w:color="auto"/>
              <w:right w:val="single" w:sz="8" w:space="0" w:color="auto"/>
            </w:tcBorders>
            <w:vAlign w:val="center"/>
          </w:tcPr>
          <w:p w14:paraId="669F3E13" w14:textId="77777777" w:rsidR="00E15C0D" w:rsidRPr="00512BE3" w:rsidRDefault="00E15C0D" w:rsidP="00E15C0D">
            <w:pPr>
              <w:ind w:left="-82"/>
              <w:jc w:val="center"/>
              <w:rPr>
                <w:sz w:val="22"/>
                <w:szCs w:val="22"/>
                <w:lang w:val="bs-Latn-BA" w:eastAsia="sr-Latn-BA"/>
              </w:rPr>
            </w:pPr>
            <w:r w:rsidRPr="00512BE3">
              <w:rPr>
                <w:sz w:val="18"/>
                <w:szCs w:val="18"/>
                <w:lang w:val="bs-Latn-BA"/>
              </w:rPr>
              <w:t>Obrazloženo u napomeni ispod tabele</w:t>
            </w:r>
          </w:p>
        </w:tc>
      </w:tr>
    </w:tbl>
    <w:p w14:paraId="3400BB14" w14:textId="77777777" w:rsidR="0095417A" w:rsidRPr="00512BE3" w:rsidRDefault="0095417A" w:rsidP="00C116E0">
      <w:pPr>
        <w:jc w:val="both"/>
        <w:rPr>
          <w:sz w:val="22"/>
          <w:szCs w:val="22"/>
        </w:rPr>
      </w:pPr>
    </w:p>
    <w:p w14:paraId="09CB89AD" w14:textId="2407B94C" w:rsidR="003B2F16" w:rsidRDefault="002C3B5F" w:rsidP="00C116E0">
      <w:pPr>
        <w:jc w:val="both"/>
        <w:rPr>
          <w:sz w:val="22"/>
          <w:szCs w:val="22"/>
        </w:rPr>
      </w:pPr>
      <w:r w:rsidRPr="00512BE3">
        <w:rPr>
          <w:sz w:val="22"/>
          <w:szCs w:val="22"/>
        </w:rPr>
        <w:t>V</w:t>
      </w:r>
      <w:r w:rsidR="00016EB7" w:rsidRPr="00512BE3">
        <w:rPr>
          <w:sz w:val="22"/>
          <w:szCs w:val="22"/>
        </w:rPr>
        <w:t>rste privremen</w:t>
      </w:r>
      <w:r w:rsidRPr="00512BE3">
        <w:rPr>
          <w:sz w:val="22"/>
          <w:szCs w:val="22"/>
        </w:rPr>
        <w:t>o oduzete robe u 202</w:t>
      </w:r>
      <w:r w:rsidR="00E15C0D" w:rsidRPr="00512BE3">
        <w:rPr>
          <w:sz w:val="22"/>
          <w:szCs w:val="22"/>
        </w:rPr>
        <w:t>2</w:t>
      </w:r>
      <w:r w:rsidRPr="00512BE3">
        <w:rPr>
          <w:sz w:val="22"/>
          <w:szCs w:val="22"/>
        </w:rPr>
        <w:t xml:space="preserve">. godini, prikazane su u </w:t>
      </w:r>
      <w:r w:rsidR="005D4EDA" w:rsidRPr="00512BE3">
        <w:rPr>
          <w:i/>
          <w:sz w:val="22"/>
          <w:szCs w:val="22"/>
        </w:rPr>
        <w:t>Tabeli 1</w:t>
      </w:r>
      <w:r w:rsidR="009714FD" w:rsidRPr="00512BE3">
        <w:rPr>
          <w:i/>
          <w:sz w:val="22"/>
          <w:szCs w:val="22"/>
        </w:rPr>
        <w:t>6</w:t>
      </w:r>
      <w:r w:rsidRPr="00512BE3">
        <w:rPr>
          <w:sz w:val="22"/>
          <w:szCs w:val="22"/>
        </w:rPr>
        <w:t xml:space="preserve">. sa iskazanom </w:t>
      </w:r>
      <w:r w:rsidR="00016EB7" w:rsidRPr="00512BE3">
        <w:rPr>
          <w:sz w:val="22"/>
          <w:szCs w:val="22"/>
        </w:rPr>
        <w:t>vrijednosti utvrđenoj od strane grupa za sprječavanje krijumčarenja i prekršaja:</w:t>
      </w:r>
    </w:p>
    <w:p w14:paraId="575C4C9C" w14:textId="77777777" w:rsidR="002722B0" w:rsidRPr="00512BE3" w:rsidRDefault="002722B0" w:rsidP="00C116E0">
      <w:pPr>
        <w:jc w:val="both"/>
        <w:rPr>
          <w:sz w:val="22"/>
          <w:szCs w:val="22"/>
        </w:rPr>
      </w:pPr>
    </w:p>
    <w:p w14:paraId="78800671" w14:textId="10378CC8" w:rsidR="00857EB3" w:rsidRPr="00512BE3" w:rsidRDefault="00857EB3" w:rsidP="00C116E0">
      <w:pPr>
        <w:spacing w:before="80"/>
        <w:jc w:val="both"/>
        <w:rPr>
          <w:b/>
          <w:i/>
          <w:sz w:val="22"/>
        </w:rPr>
      </w:pPr>
      <w:r w:rsidRPr="00512BE3">
        <w:rPr>
          <w:b/>
          <w:i/>
          <w:sz w:val="22"/>
        </w:rPr>
        <w:t xml:space="preserve">Tabela </w:t>
      </w:r>
      <w:r w:rsidR="005D4EDA" w:rsidRPr="00512BE3">
        <w:rPr>
          <w:b/>
          <w:i/>
          <w:sz w:val="22"/>
        </w:rPr>
        <w:t>1</w:t>
      </w:r>
      <w:r w:rsidR="009714FD" w:rsidRPr="00512BE3">
        <w:rPr>
          <w:b/>
          <w:i/>
          <w:sz w:val="22"/>
        </w:rPr>
        <w:t>6</w:t>
      </w:r>
      <w:r w:rsidRPr="00512BE3">
        <w:rPr>
          <w:b/>
          <w:i/>
          <w:sz w:val="22"/>
        </w:rPr>
        <w:t>: Pregled vrsta i vrijednost</w:t>
      </w:r>
      <w:r w:rsidR="00E15C0D" w:rsidRPr="00512BE3">
        <w:rPr>
          <w:b/>
          <w:i/>
          <w:sz w:val="22"/>
        </w:rPr>
        <w:t>i privremeno oduzete robe u 2022</w:t>
      </w:r>
      <w:r w:rsidRPr="00512BE3">
        <w:rPr>
          <w:b/>
          <w:i/>
          <w:sz w:val="22"/>
        </w:rPr>
        <w:t>. godini</w:t>
      </w:r>
    </w:p>
    <w:tbl>
      <w:tblPr>
        <w:tblW w:w="9033" w:type="dxa"/>
        <w:jc w:val="center"/>
        <w:tblLook w:val="04A0" w:firstRow="1" w:lastRow="0" w:firstColumn="1" w:lastColumn="0" w:noHBand="0" w:noVBand="1"/>
      </w:tblPr>
      <w:tblGrid>
        <w:gridCol w:w="611"/>
        <w:gridCol w:w="6281"/>
        <w:gridCol w:w="2141"/>
      </w:tblGrid>
      <w:tr w:rsidR="00E15C0D" w:rsidRPr="00512BE3" w14:paraId="317121CA" w14:textId="77777777" w:rsidTr="00E15C0D">
        <w:trPr>
          <w:trHeight w:val="182"/>
          <w:jc w:val="center"/>
        </w:trPr>
        <w:tc>
          <w:tcPr>
            <w:tcW w:w="61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2841E00" w14:textId="77777777" w:rsidR="00E15C0D" w:rsidRPr="00512BE3" w:rsidRDefault="00E15C0D" w:rsidP="00E15C0D">
            <w:pPr>
              <w:jc w:val="center"/>
              <w:rPr>
                <w:b/>
                <w:bCs/>
                <w:sz w:val="20"/>
                <w:szCs w:val="20"/>
                <w:lang w:val="bs-Latn-BA" w:eastAsia="bs-Latn-BA"/>
              </w:rPr>
            </w:pPr>
            <w:r w:rsidRPr="00512BE3">
              <w:rPr>
                <w:b/>
                <w:bCs/>
                <w:sz w:val="20"/>
                <w:szCs w:val="20"/>
                <w:lang w:val="bs-Latn-BA" w:eastAsia="bs-Latn-BA"/>
              </w:rPr>
              <w:t>Br.</w:t>
            </w:r>
          </w:p>
        </w:tc>
        <w:tc>
          <w:tcPr>
            <w:tcW w:w="6281" w:type="dxa"/>
            <w:tcBorders>
              <w:top w:val="single" w:sz="4" w:space="0" w:color="auto"/>
              <w:left w:val="nil"/>
              <w:bottom w:val="single" w:sz="4" w:space="0" w:color="auto"/>
              <w:right w:val="single" w:sz="4" w:space="0" w:color="auto"/>
            </w:tcBorders>
            <w:shd w:val="clear" w:color="000000" w:fill="B8CCE4"/>
            <w:noWrap/>
            <w:vAlign w:val="bottom"/>
            <w:hideMark/>
          </w:tcPr>
          <w:p w14:paraId="017FD712" w14:textId="77777777" w:rsidR="00E15C0D" w:rsidRPr="00512BE3" w:rsidRDefault="00E15C0D" w:rsidP="00E15C0D">
            <w:pPr>
              <w:jc w:val="center"/>
              <w:rPr>
                <w:b/>
                <w:bCs/>
                <w:sz w:val="20"/>
                <w:szCs w:val="20"/>
                <w:lang w:val="bs-Latn-BA" w:eastAsia="bs-Latn-BA"/>
              </w:rPr>
            </w:pPr>
            <w:r w:rsidRPr="00512BE3">
              <w:rPr>
                <w:b/>
                <w:bCs/>
                <w:sz w:val="20"/>
                <w:szCs w:val="20"/>
                <w:lang w:val="bs-Latn-BA" w:eastAsia="bs-Latn-BA"/>
              </w:rPr>
              <w:t>Vrsta robe</w:t>
            </w:r>
          </w:p>
        </w:tc>
        <w:tc>
          <w:tcPr>
            <w:tcW w:w="214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06A84B0" w14:textId="77777777" w:rsidR="00E15C0D" w:rsidRPr="00512BE3" w:rsidRDefault="00E15C0D" w:rsidP="00E15C0D">
            <w:pPr>
              <w:jc w:val="center"/>
              <w:rPr>
                <w:b/>
                <w:bCs/>
                <w:sz w:val="20"/>
                <w:szCs w:val="20"/>
                <w:lang w:val="bs-Latn-BA" w:eastAsia="bs-Latn-BA"/>
              </w:rPr>
            </w:pPr>
            <w:r w:rsidRPr="00512BE3">
              <w:rPr>
                <w:b/>
                <w:bCs/>
                <w:sz w:val="20"/>
                <w:szCs w:val="20"/>
                <w:lang w:val="bs-Latn-BA" w:eastAsia="bs-Latn-BA"/>
              </w:rPr>
              <w:t>Vrijednost robe (KM)</w:t>
            </w:r>
          </w:p>
        </w:tc>
      </w:tr>
      <w:tr w:rsidR="00E15C0D" w:rsidRPr="00512BE3" w14:paraId="6142AB2E" w14:textId="77777777" w:rsidTr="00E15C0D">
        <w:trPr>
          <w:trHeight w:val="109"/>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C2A1D28" w14:textId="77777777" w:rsidR="00E15C0D" w:rsidRPr="00512BE3" w:rsidRDefault="00E15C0D" w:rsidP="00E15C0D">
            <w:pPr>
              <w:jc w:val="center"/>
              <w:rPr>
                <w:sz w:val="20"/>
                <w:szCs w:val="20"/>
                <w:lang w:val="bs-Latn-BA" w:eastAsia="bs-Latn-BA"/>
              </w:rPr>
            </w:pPr>
            <w:r w:rsidRPr="00512BE3">
              <w:rPr>
                <w:sz w:val="20"/>
                <w:szCs w:val="20"/>
                <w:lang w:val="bs-Latn-BA" w:eastAsia="bs-Latn-BA"/>
              </w:rPr>
              <w:t>1</w:t>
            </w:r>
          </w:p>
        </w:tc>
        <w:tc>
          <w:tcPr>
            <w:tcW w:w="6281" w:type="dxa"/>
            <w:tcBorders>
              <w:top w:val="nil"/>
              <w:left w:val="nil"/>
              <w:bottom w:val="single" w:sz="4" w:space="0" w:color="auto"/>
              <w:right w:val="single" w:sz="4" w:space="0" w:color="auto"/>
            </w:tcBorders>
            <w:shd w:val="clear" w:color="auto" w:fill="auto"/>
            <w:hideMark/>
          </w:tcPr>
          <w:p w14:paraId="56AD76C3" w14:textId="77777777" w:rsidR="00E15C0D" w:rsidRPr="00512BE3" w:rsidRDefault="00E15C0D" w:rsidP="00E15C0D">
            <w:pPr>
              <w:jc w:val="center"/>
              <w:rPr>
                <w:sz w:val="20"/>
                <w:szCs w:val="20"/>
                <w:lang w:val="bs-Latn-BA" w:eastAsia="bs-Latn-BA"/>
              </w:rPr>
            </w:pPr>
            <w:r w:rsidRPr="00512BE3">
              <w:rPr>
                <w:sz w:val="20"/>
                <w:szCs w:val="20"/>
                <w:lang w:val="bs-Latn-BA" w:eastAsia="bs-Latn-BA"/>
              </w:rPr>
              <w:t>Tekstil</w:t>
            </w:r>
          </w:p>
        </w:tc>
        <w:tc>
          <w:tcPr>
            <w:tcW w:w="2141" w:type="dxa"/>
            <w:tcBorders>
              <w:top w:val="nil"/>
              <w:left w:val="single" w:sz="4" w:space="0" w:color="auto"/>
              <w:bottom w:val="single" w:sz="4" w:space="0" w:color="auto"/>
              <w:right w:val="single" w:sz="4" w:space="0" w:color="auto"/>
            </w:tcBorders>
            <w:shd w:val="clear" w:color="auto" w:fill="auto"/>
            <w:hideMark/>
          </w:tcPr>
          <w:p w14:paraId="57B1F64C" w14:textId="77777777" w:rsidR="00E15C0D" w:rsidRPr="00512BE3" w:rsidRDefault="00E15C0D" w:rsidP="00E15C0D">
            <w:pPr>
              <w:jc w:val="right"/>
              <w:rPr>
                <w:sz w:val="20"/>
                <w:szCs w:val="20"/>
                <w:lang w:val="bs-Latn-BA" w:eastAsia="bs-Latn-BA"/>
              </w:rPr>
            </w:pPr>
            <w:r w:rsidRPr="00512BE3">
              <w:rPr>
                <w:sz w:val="20"/>
                <w:szCs w:val="20"/>
                <w:lang w:val="bs-Latn-BA" w:eastAsia="bs-Latn-BA"/>
              </w:rPr>
              <w:t>2.300.495,00</w:t>
            </w:r>
          </w:p>
        </w:tc>
      </w:tr>
      <w:tr w:rsidR="00E15C0D" w:rsidRPr="00512BE3" w14:paraId="34112813" w14:textId="77777777" w:rsidTr="00E15C0D">
        <w:trPr>
          <w:trHeight w:val="24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5AE014A" w14:textId="77777777" w:rsidR="00E15C0D" w:rsidRPr="00512BE3" w:rsidRDefault="00E15C0D" w:rsidP="00E15C0D">
            <w:pPr>
              <w:jc w:val="center"/>
              <w:rPr>
                <w:sz w:val="20"/>
                <w:szCs w:val="20"/>
                <w:lang w:val="bs-Latn-BA" w:eastAsia="bs-Latn-BA"/>
              </w:rPr>
            </w:pPr>
            <w:r w:rsidRPr="00512BE3">
              <w:rPr>
                <w:sz w:val="20"/>
                <w:szCs w:val="20"/>
                <w:lang w:val="bs-Latn-BA" w:eastAsia="bs-Latn-BA"/>
              </w:rPr>
              <w:t>2</w:t>
            </w:r>
          </w:p>
        </w:tc>
        <w:tc>
          <w:tcPr>
            <w:tcW w:w="6281" w:type="dxa"/>
            <w:tcBorders>
              <w:top w:val="nil"/>
              <w:left w:val="nil"/>
              <w:bottom w:val="single" w:sz="4" w:space="0" w:color="auto"/>
              <w:right w:val="single" w:sz="4" w:space="0" w:color="auto"/>
            </w:tcBorders>
            <w:shd w:val="clear" w:color="auto" w:fill="auto"/>
            <w:hideMark/>
          </w:tcPr>
          <w:p w14:paraId="0F745E36" w14:textId="77777777" w:rsidR="00E15C0D" w:rsidRPr="00512BE3" w:rsidRDefault="00E15C0D" w:rsidP="006F31E6">
            <w:pPr>
              <w:rPr>
                <w:sz w:val="20"/>
                <w:szCs w:val="20"/>
                <w:lang w:val="bs-Latn-BA" w:eastAsia="bs-Latn-BA"/>
              </w:rPr>
            </w:pPr>
            <w:r w:rsidRPr="00512BE3">
              <w:rPr>
                <w:sz w:val="20"/>
                <w:szCs w:val="20"/>
                <w:lang w:val="bs-Latn-BA" w:eastAsia="bs-Latn-BA"/>
              </w:rPr>
              <w:t>Duhan, cigarete, duhanske prerađevine i aroma za nargilu/patrona za e - cigaretu (akcizni proizvod)</w:t>
            </w:r>
          </w:p>
        </w:tc>
        <w:tc>
          <w:tcPr>
            <w:tcW w:w="2141" w:type="dxa"/>
            <w:tcBorders>
              <w:top w:val="nil"/>
              <w:left w:val="single" w:sz="4" w:space="0" w:color="auto"/>
              <w:bottom w:val="single" w:sz="4" w:space="0" w:color="auto"/>
              <w:right w:val="single" w:sz="4" w:space="0" w:color="auto"/>
            </w:tcBorders>
            <w:shd w:val="clear" w:color="auto" w:fill="auto"/>
            <w:hideMark/>
          </w:tcPr>
          <w:p w14:paraId="7E4EE76C" w14:textId="77777777" w:rsidR="00E15C0D" w:rsidRPr="00512BE3" w:rsidRDefault="00E15C0D" w:rsidP="00E15C0D">
            <w:pPr>
              <w:jc w:val="right"/>
              <w:rPr>
                <w:sz w:val="20"/>
                <w:szCs w:val="20"/>
                <w:lang w:val="bs-Latn-BA" w:eastAsia="bs-Latn-BA"/>
              </w:rPr>
            </w:pPr>
            <w:r w:rsidRPr="00512BE3">
              <w:rPr>
                <w:sz w:val="20"/>
                <w:szCs w:val="20"/>
                <w:lang w:val="bs-Latn-BA" w:eastAsia="bs-Latn-BA"/>
              </w:rPr>
              <w:t>1.774.568,44</w:t>
            </w:r>
          </w:p>
        </w:tc>
      </w:tr>
      <w:tr w:rsidR="00E15C0D" w:rsidRPr="00512BE3" w14:paraId="4393617F" w14:textId="77777777" w:rsidTr="00E15C0D">
        <w:trPr>
          <w:trHeight w:val="150"/>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13B34E6" w14:textId="77777777" w:rsidR="00E15C0D" w:rsidRPr="00512BE3" w:rsidRDefault="00E15C0D" w:rsidP="00E15C0D">
            <w:pPr>
              <w:jc w:val="center"/>
              <w:rPr>
                <w:sz w:val="20"/>
                <w:szCs w:val="20"/>
                <w:lang w:val="bs-Latn-BA" w:eastAsia="bs-Latn-BA"/>
              </w:rPr>
            </w:pPr>
            <w:r w:rsidRPr="00512BE3">
              <w:rPr>
                <w:sz w:val="20"/>
                <w:szCs w:val="20"/>
                <w:lang w:val="bs-Latn-BA" w:eastAsia="bs-Latn-BA"/>
              </w:rPr>
              <w:t>3</w:t>
            </w:r>
          </w:p>
        </w:tc>
        <w:tc>
          <w:tcPr>
            <w:tcW w:w="6281" w:type="dxa"/>
            <w:tcBorders>
              <w:top w:val="nil"/>
              <w:left w:val="nil"/>
              <w:bottom w:val="single" w:sz="4" w:space="0" w:color="auto"/>
              <w:right w:val="single" w:sz="4" w:space="0" w:color="auto"/>
            </w:tcBorders>
            <w:shd w:val="clear" w:color="auto" w:fill="auto"/>
            <w:hideMark/>
          </w:tcPr>
          <w:p w14:paraId="276926C9" w14:textId="77777777" w:rsidR="00E15C0D" w:rsidRPr="00512BE3" w:rsidRDefault="00E15C0D" w:rsidP="006F31E6">
            <w:pPr>
              <w:rPr>
                <w:sz w:val="20"/>
                <w:szCs w:val="20"/>
                <w:lang w:val="bs-Latn-BA" w:eastAsia="bs-Latn-BA"/>
              </w:rPr>
            </w:pPr>
            <w:r w:rsidRPr="00512BE3">
              <w:rPr>
                <w:sz w:val="20"/>
                <w:szCs w:val="20"/>
                <w:lang w:val="bs-Latn-BA" w:eastAsia="bs-Latn-BA"/>
              </w:rPr>
              <w:t>PMV</w:t>
            </w:r>
          </w:p>
        </w:tc>
        <w:tc>
          <w:tcPr>
            <w:tcW w:w="2141" w:type="dxa"/>
            <w:tcBorders>
              <w:top w:val="nil"/>
              <w:left w:val="single" w:sz="4" w:space="0" w:color="auto"/>
              <w:bottom w:val="single" w:sz="4" w:space="0" w:color="auto"/>
              <w:right w:val="single" w:sz="4" w:space="0" w:color="auto"/>
            </w:tcBorders>
            <w:shd w:val="clear" w:color="auto" w:fill="auto"/>
            <w:hideMark/>
          </w:tcPr>
          <w:p w14:paraId="0801AE96" w14:textId="77777777" w:rsidR="00E15C0D" w:rsidRPr="00512BE3" w:rsidRDefault="00E15C0D" w:rsidP="00E15C0D">
            <w:pPr>
              <w:jc w:val="right"/>
              <w:rPr>
                <w:sz w:val="20"/>
                <w:szCs w:val="20"/>
                <w:lang w:val="bs-Latn-BA" w:eastAsia="bs-Latn-BA"/>
              </w:rPr>
            </w:pPr>
            <w:r w:rsidRPr="00512BE3">
              <w:rPr>
                <w:sz w:val="20"/>
                <w:szCs w:val="20"/>
                <w:lang w:val="bs-Latn-BA" w:eastAsia="bs-Latn-BA"/>
              </w:rPr>
              <w:t>715.250,00</w:t>
            </w:r>
          </w:p>
        </w:tc>
      </w:tr>
      <w:tr w:rsidR="00E15C0D" w:rsidRPr="00512BE3" w14:paraId="7925F110" w14:textId="77777777" w:rsidTr="00E15C0D">
        <w:trPr>
          <w:trHeight w:val="73"/>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8101709" w14:textId="77777777" w:rsidR="00E15C0D" w:rsidRPr="00512BE3" w:rsidRDefault="00E15C0D" w:rsidP="00E15C0D">
            <w:pPr>
              <w:jc w:val="center"/>
              <w:rPr>
                <w:sz w:val="20"/>
                <w:szCs w:val="20"/>
                <w:lang w:val="bs-Latn-BA" w:eastAsia="bs-Latn-BA"/>
              </w:rPr>
            </w:pPr>
            <w:r w:rsidRPr="00512BE3">
              <w:rPr>
                <w:sz w:val="20"/>
                <w:szCs w:val="20"/>
                <w:lang w:val="bs-Latn-BA" w:eastAsia="bs-Latn-BA"/>
              </w:rPr>
              <w:t>4</w:t>
            </w:r>
          </w:p>
        </w:tc>
        <w:tc>
          <w:tcPr>
            <w:tcW w:w="6281" w:type="dxa"/>
            <w:tcBorders>
              <w:top w:val="nil"/>
              <w:left w:val="nil"/>
              <w:bottom w:val="single" w:sz="4" w:space="0" w:color="auto"/>
              <w:right w:val="single" w:sz="4" w:space="0" w:color="auto"/>
            </w:tcBorders>
            <w:shd w:val="clear" w:color="auto" w:fill="auto"/>
            <w:hideMark/>
          </w:tcPr>
          <w:p w14:paraId="6C507C33" w14:textId="77777777" w:rsidR="00E15C0D" w:rsidRPr="00512BE3" w:rsidRDefault="00E15C0D" w:rsidP="006F31E6">
            <w:pPr>
              <w:rPr>
                <w:sz w:val="20"/>
                <w:szCs w:val="20"/>
                <w:lang w:val="bs-Latn-BA" w:eastAsia="bs-Latn-BA"/>
              </w:rPr>
            </w:pPr>
            <w:r w:rsidRPr="00512BE3">
              <w:rPr>
                <w:sz w:val="20"/>
                <w:szCs w:val="20"/>
                <w:lang w:val="bs-Latn-BA" w:eastAsia="bs-Latn-BA"/>
              </w:rPr>
              <w:t>Auto dijelovi</w:t>
            </w:r>
          </w:p>
        </w:tc>
        <w:tc>
          <w:tcPr>
            <w:tcW w:w="2141" w:type="dxa"/>
            <w:tcBorders>
              <w:top w:val="nil"/>
              <w:left w:val="single" w:sz="4" w:space="0" w:color="auto"/>
              <w:bottom w:val="single" w:sz="4" w:space="0" w:color="auto"/>
              <w:right w:val="single" w:sz="4" w:space="0" w:color="auto"/>
            </w:tcBorders>
            <w:shd w:val="clear" w:color="auto" w:fill="auto"/>
            <w:hideMark/>
          </w:tcPr>
          <w:p w14:paraId="66B998C0" w14:textId="77777777" w:rsidR="00E15C0D" w:rsidRPr="00512BE3" w:rsidRDefault="00E15C0D" w:rsidP="00E15C0D">
            <w:pPr>
              <w:jc w:val="right"/>
              <w:rPr>
                <w:sz w:val="20"/>
                <w:szCs w:val="20"/>
                <w:lang w:val="bs-Latn-BA" w:eastAsia="bs-Latn-BA"/>
              </w:rPr>
            </w:pPr>
            <w:r w:rsidRPr="00512BE3">
              <w:rPr>
                <w:sz w:val="20"/>
                <w:szCs w:val="20"/>
                <w:lang w:val="bs-Latn-BA" w:eastAsia="bs-Latn-BA"/>
              </w:rPr>
              <w:t>491.975,00</w:t>
            </w:r>
          </w:p>
        </w:tc>
      </w:tr>
      <w:tr w:rsidR="00E15C0D" w:rsidRPr="00512BE3" w14:paraId="5281EF37"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F9DE18F" w14:textId="77777777" w:rsidR="00E15C0D" w:rsidRPr="00512BE3" w:rsidRDefault="00E15C0D" w:rsidP="00E15C0D">
            <w:pPr>
              <w:jc w:val="center"/>
              <w:rPr>
                <w:sz w:val="20"/>
                <w:szCs w:val="20"/>
                <w:lang w:val="bs-Latn-BA" w:eastAsia="bs-Latn-BA"/>
              </w:rPr>
            </w:pPr>
            <w:r w:rsidRPr="00512BE3">
              <w:rPr>
                <w:sz w:val="20"/>
                <w:szCs w:val="20"/>
                <w:lang w:val="bs-Latn-BA" w:eastAsia="bs-Latn-BA"/>
              </w:rPr>
              <w:t>5</w:t>
            </w:r>
          </w:p>
        </w:tc>
        <w:tc>
          <w:tcPr>
            <w:tcW w:w="6281" w:type="dxa"/>
            <w:tcBorders>
              <w:top w:val="nil"/>
              <w:left w:val="nil"/>
              <w:bottom w:val="single" w:sz="4" w:space="0" w:color="auto"/>
              <w:right w:val="single" w:sz="4" w:space="0" w:color="auto"/>
            </w:tcBorders>
            <w:shd w:val="clear" w:color="auto" w:fill="auto"/>
          </w:tcPr>
          <w:p w14:paraId="26E2F069" w14:textId="77777777" w:rsidR="00E15C0D" w:rsidRPr="00512BE3" w:rsidRDefault="00E15C0D" w:rsidP="006F31E6">
            <w:pPr>
              <w:rPr>
                <w:sz w:val="20"/>
                <w:szCs w:val="20"/>
                <w:lang w:val="bs-Latn-BA" w:eastAsia="bs-Latn-BA"/>
              </w:rPr>
            </w:pPr>
            <w:r w:rsidRPr="00512BE3">
              <w:rPr>
                <w:sz w:val="20"/>
                <w:szCs w:val="20"/>
                <w:lang w:val="bs-Latn-BA" w:eastAsia="bs-Latn-BA"/>
              </w:rPr>
              <w:t>Lepeze</w:t>
            </w:r>
          </w:p>
        </w:tc>
        <w:tc>
          <w:tcPr>
            <w:tcW w:w="2141" w:type="dxa"/>
            <w:tcBorders>
              <w:top w:val="nil"/>
              <w:left w:val="single" w:sz="4" w:space="0" w:color="auto"/>
              <w:bottom w:val="single" w:sz="4" w:space="0" w:color="auto"/>
              <w:right w:val="single" w:sz="4" w:space="0" w:color="auto"/>
            </w:tcBorders>
            <w:shd w:val="clear" w:color="auto" w:fill="auto"/>
          </w:tcPr>
          <w:p w14:paraId="6B2DAE3B" w14:textId="77777777" w:rsidR="00E15C0D" w:rsidRPr="00512BE3" w:rsidRDefault="00E15C0D" w:rsidP="00E15C0D">
            <w:pPr>
              <w:jc w:val="right"/>
              <w:rPr>
                <w:sz w:val="20"/>
                <w:szCs w:val="20"/>
                <w:lang w:val="bs-Latn-BA" w:eastAsia="bs-Latn-BA"/>
              </w:rPr>
            </w:pPr>
            <w:r w:rsidRPr="00512BE3">
              <w:rPr>
                <w:sz w:val="20"/>
                <w:szCs w:val="20"/>
                <w:lang w:val="bs-Latn-BA" w:eastAsia="bs-Latn-BA"/>
              </w:rPr>
              <w:t>307.200,00</w:t>
            </w:r>
          </w:p>
        </w:tc>
      </w:tr>
      <w:tr w:rsidR="00E15C0D" w:rsidRPr="00512BE3" w14:paraId="1E14C62A"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DC2EC77" w14:textId="77777777" w:rsidR="00E15C0D" w:rsidRPr="00512BE3" w:rsidRDefault="00E15C0D" w:rsidP="00E15C0D">
            <w:pPr>
              <w:jc w:val="center"/>
              <w:rPr>
                <w:sz w:val="20"/>
                <w:szCs w:val="20"/>
                <w:lang w:val="bs-Latn-BA" w:eastAsia="bs-Latn-BA"/>
              </w:rPr>
            </w:pPr>
            <w:r w:rsidRPr="00512BE3">
              <w:rPr>
                <w:sz w:val="20"/>
                <w:szCs w:val="20"/>
                <w:lang w:val="bs-Latn-BA" w:eastAsia="bs-Latn-BA"/>
              </w:rPr>
              <w:t>6</w:t>
            </w:r>
          </w:p>
        </w:tc>
        <w:tc>
          <w:tcPr>
            <w:tcW w:w="6281" w:type="dxa"/>
            <w:tcBorders>
              <w:top w:val="nil"/>
              <w:left w:val="nil"/>
              <w:bottom w:val="single" w:sz="4" w:space="0" w:color="auto"/>
              <w:right w:val="single" w:sz="4" w:space="0" w:color="auto"/>
            </w:tcBorders>
            <w:shd w:val="clear" w:color="auto" w:fill="auto"/>
          </w:tcPr>
          <w:p w14:paraId="19F6891E" w14:textId="77777777" w:rsidR="00E15C0D" w:rsidRPr="00512BE3" w:rsidRDefault="00E15C0D" w:rsidP="006F31E6">
            <w:pPr>
              <w:rPr>
                <w:sz w:val="20"/>
                <w:szCs w:val="20"/>
                <w:lang w:val="bs-Latn-BA" w:eastAsia="bs-Latn-BA"/>
              </w:rPr>
            </w:pPr>
            <w:r w:rsidRPr="00512BE3">
              <w:rPr>
                <w:sz w:val="20"/>
                <w:szCs w:val="20"/>
                <w:lang w:val="bs-Latn-BA" w:eastAsia="bs-Latn-BA"/>
              </w:rPr>
              <w:t>Obuća</w:t>
            </w:r>
          </w:p>
        </w:tc>
        <w:tc>
          <w:tcPr>
            <w:tcW w:w="2141" w:type="dxa"/>
            <w:tcBorders>
              <w:top w:val="nil"/>
              <w:left w:val="single" w:sz="4" w:space="0" w:color="auto"/>
              <w:bottom w:val="single" w:sz="4" w:space="0" w:color="auto"/>
              <w:right w:val="single" w:sz="4" w:space="0" w:color="auto"/>
            </w:tcBorders>
            <w:shd w:val="clear" w:color="auto" w:fill="auto"/>
          </w:tcPr>
          <w:p w14:paraId="21F70F5A" w14:textId="77777777" w:rsidR="00E15C0D" w:rsidRPr="00512BE3" w:rsidRDefault="00E15C0D" w:rsidP="00E15C0D">
            <w:pPr>
              <w:jc w:val="right"/>
              <w:rPr>
                <w:sz w:val="20"/>
                <w:szCs w:val="20"/>
                <w:lang w:val="bs-Latn-BA" w:eastAsia="bs-Latn-BA"/>
              </w:rPr>
            </w:pPr>
            <w:r w:rsidRPr="00512BE3">
              <w:rPr>
                <w:sz w:val="20"/>
                <w:szCs w:val="20"/>
                <w:lang w:val="bs-Latn-BA" w:eastAsia="bs-Latn-BA"/>
              </w:rPr>
              <w:t>251.405,00</w:t>
            </w:r>
          </w:p>
        </w:tc>
      </w:tr>
      <w:tr w:rsidR="00E15C0D" w:rsidRPr="00512BE3" w14:paraId="2FBD1B04"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E030443" w14:textId="77777777" w:rsidR="00E15C0D" w:rsidRPr="00512BE3" w:rsidRDefault="00E15C0D" w:rsidP="00E15C0D">
            <w:pPr>
              <w:jc w:val="center"/>
              <w:rPr>
                <w:sz w:val="20"/>
                <w:szCs w:val="20"/>
                <w:lang w:val="bs-Latn-BA" w:eastAsia="bs-Latn-BA"/>
              </w:rPr>
            </w:pPr>
            <w:r w:rsidRPr="00512BE3">
              <w:rPr>
                <w:sz w:val="20"/>
                <w:szCs w:val="20"/>
                <w:lang w:val="bs-Latn-BA" w:eastAsia="bs-Latn-BA"/>
              </w:rPr>
              <w:t>7</w:t>
            </w:r>
          </w:p>
        </w:tc>
        <w:tc>
          <w:tcPr>
            <w:tcW w:w="6281" w:type="dxa"/>
            <w:tcBorders>
              <w:top w:val="nil"/>
              <w:left w:val="nil"/>
              <w:bottom w:val="single" w:sz="4" w:space="0" w:color="auto"/>
              <w:right w:val="single" w:sz="4" w:space="0" w:color="auto"/>
            </w:tcBorders>
            <w:shd w:val="clear" w:color="auto" w:fill="auto"/>
          </w:tcPr>
          <w:p w14:paraId="74C7515C" w14:textId="77777777" w:rsidR="00E15C0D" w:rsidRPr="00512BE3" w:rsidRDefault="00E15C0D" w:rsidP="006F31E6">
            <w:pPr>
              <w:rPr>
                <w:sz w:val="20"/>
                <w:szCs w:val="20"/>
                <w:lang w:val="bs-Latn-BA" w:eastAsia="bs-Latn-BA"/>
              </w:rPr>
            </w:pPr>
            <w:r w:rsidRPr="00512BE3">
              <w:rPr>
                <w:sz w:val="20"/>
                <w:szCs w:val="20"/>
                <w:lang w:val="bs-Latn-BA" w:eastAsia="bs-Latn-BA"/>
              </w:rPr>
              <w:t>Mašina za rezanje duhana/pravljenje cigareta</w:t>
            </w:r>
          </w:p>
        </w:tc>
        <w:tc>
          <w:tcPr>
            <w:tcW w:w="2141" w:type="dxa"/>
            <w:tcBorders>
              <w:top w:val="nil"/>
              <w:left w:val="single" w:sz="4" w:space="0" w:color="auto"/>
              <w:bottom w:val="single" w:sz="4" w:space="0" w:color="auto"/>
              <w:right w:val="single" w:sz="4" w:space="0" w:color="auto"/>
            </w:tcBorders>
            <w:shd w:val="clear" w:color="auto" w:fill="auto"/>
          </w:tcPr>
          <w:p w14:paraId="1D891A27" w14:textId="77777777" w:rsidR="00E15C0D" w:rsidRPr="00512BE3" w:rsidRDefault="00E15C0D" w:rsidP="00E15C0D">
            <w:pPr>
              <w:jc w:val="right"/>
              <w:rPr>
                <w:sz w:val="20"/>
                <w:szCs w:val="20"/>
                <w:lang w:val="bs-Latn-BA" w:eastAsia="bs-Latn-BA"/>
              </w:rPr>
            </w:pPr>
            <w:r w:rsidRPr="00512BE3">
              <w:rPr>
                <w:sz w:val="20"/>
                <w:szCs w:val="20"/>
                <w:lang w:val="bs-Latn-BA" w:eastAsia="bs-Latn-BA"/>
              </w:rPr>
              <w:t>188.970,00</w:t>
            </w:r>
          </w:p>
        </w:tc>
      </w:tr>
      <w:tr w:rsidR="00E15C0D" w:rsidRPr="00512BE3" w14:paraId="49168E0D"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04C241EC" w14:textId="77777777" w:rsidR="00E15C0D" w:rsidRPr="00512BE3" w:rsidRDefault="00E15C0D" w:rsidP="00E15C0D">
            <w:pPr>
              <w:jc w:val="center"/>
              <w:rPr>
                <w:sz w:val="20"/>
                <w:szCs w:val="20"/>
                <w:lang w:val="bs-Latn-BA" w:eastAsia="bs-Latn-BA"/>
              </w:rPr>
            </w:pPr>
            <w:r w:rsidRPr="00512BE3">
              <w:rPr>
                <w:sz w:val="20"/>
                <w:szCs w:val="20"/>
                <w:lang w:val="bs-Latn-BA" w:eastAsia="bs-Latn-BA"/>
              </w:rPr>
              <w:t>8</w:t>
            </w:r>
          </w:p>
        </w:tc>
        <w:tc>
          <w:tcPr>
            <w:tcW w:w="6281" w:type="dxa"/>
            <w:tcBorders>
              <w:top w:val="nil"/>
              <w:left w:val="nil"/>
              <w:bottom w:val="single" w:sz="4" w:space="0" w:color="auto"/>
              <w:right w:val="single" w:sz="4" w:space="0" w:color="auto"/>
            </w:tcBorders>
            <w:shd w:val="clear" w:color="auto" w:fill="auto"/>
          </w:tcPr>
          <w:p w14:paraId="2B67A991" w14:textId="77777777" w:rsidR="00E15C0D" w:rsidRPr="00512BE3" w:rsidRDefault="00E15C0D" w:rsidP="006F31E6">
            <w:pPr>
              <w:rPr>
                <w:sz w:val="20"/>
                <w:szCs w:val="20"/>
                <w:lang w:val="bs-Latn-BA" w:eastAsia="bs-Latn-BA"/>
              </w:rPr>
            </w:pPr>
            <w:r w:rsidRPr="00512BE3">
              <w:rPr>
                <w:sz w:val="20"/>
                <w:szCs w:val="20"/>
                <w:lang w:val="bs-Latn-BA" w:eastAsia="bs-Latn-BA"/>
              </w:rPr>
              <w:t>Mašine i alati</w:t>
            </w:r>
          </w:p>
        </w:tc>
        <w:tc>
          <w:tcPr>
            <w:tcW w:w="2141" w:type="dxa"/>
            <w:tcBorders>
              <w:top w:val="nil"/>
              <w:left w:val="single" w:sz="4" w:space="0" w:color="auto"/>
              <w:bottom w:val="single" w:sz="4" w:space="0" w:color="auto"/>
              <w:right w:val="single" w:sz="4" w:space="0" w:color="auto"/>
            </w:tcBorders>
            <w:shd w:val="clear" w:color="auto" w:fill="auto"/>
          </w:tcPr>
          <w:p w14:paraId="42E0E74F" w14:textId="77777777" w:rsidR="00E15C0D" w:rsidRPr="00512BE3" w:rsidRDefault="00E15C0D" w:rsidP="00E15C0D">
            <w:pPr>
              <w:jc w:val="right"/>
              <w:rPr>
                <w:sz w:val="20"/>
                <w:szCs w:val="20"/>
                <w:lang w:val="bs-Latn-BA" w:eastAsia="bs-Latn-BA"/>
              </w:rPr>
            </w:pPr>
            <w:r w:rsidRPr="00512BE3">
              <w:rPr>
                <w:sz w:val="20"/>
                <w:szCs w:val="20"/>
                <w:lang w:val="bs-Latn-BA" w:eastAsia="bs-Latn-BA"/>
              </w:rPr>
              <w:t>139.220,00</w:t>
            </w:r>
          </w:p>
        </w:tc>
      </w:tr>
      <w:tr w:rsidR="00E15C0D" w:rsidRPr="00512BE3" w14:paraId="61866D71"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01546616" w14:textId="77777777" w:rsidR="00E15C0D" w:rsidRPr="00512BE3" w:rsidRDefault="00E15C0D" w:rsidP="00E15C0D">
            <w:pPr>
              <w:jc w:val="center"/>
              <w:rPr>
                <w:sz w:val="20"/>
                <w:szCs w:val="20"/>
                <w:lang w:val="bs-Latn-BA" w:eastAsia="bs-Latn-BA"/>
              </w:rPr>
            </w:pPr>
            <w:r w:rsidRPr="00512BE3">
              <w:rPr>
                <w:sz w:val="20"/>
                <w:szCs w:val="20"/>
                <w:lang w:val="bs-Latn-BA" w:eastAsia="bs-Latn-BA"/>
              </w:rPr>
              <w:t>9</w:t>
            </w:r>
          </w:p>
        </w:tc>
        <w:tc>
          <w:tcPr>
            <w:tcW w:w="6281" w:type="dxa"/>
            <w:tcBorders>
              <w:top w:val="nil"/>
              <w:left w:val="nil"/>
              <w:bottom w:val="single" w:sz="4" w:space="0" w:color="auto"/>
              <w:right w:val="single" w:sz="4" w:space="0" w:color="auto"/>
            </w:tcBorders>
            <w:shd w:val="clear" w:color="auto" w:fill="auto"/>
          </w:tcPr>
          <w:p w14:paraId="1DDD19E9" w14:textId="77777777" w:rsidR="00E15C0D" w:rsidRPr="00512BE3" w:rsidRDefault="00E15C0D" w:rsidP="006F31E6">
            <w:pPr>
              <w:rPr>
                <w:sz w:val="20"/>
                <w:szCs w:val="20"/>
                <w:lang w:val="bs-Latn-BA" w:eastAsia="bs-Latn-BA"/>
              </w:rPr>
            </w:pPr>
            <w:r w:rsidRPr="00512BE3">
              <w:rPr>
                <w:sz w:val="20"/>
                <w:szCs w:val="20"/>
                <w:lang w:val="bs-Latn-BA" w:eastAsia="bs-Latn-BA"/>
              </w:rPr>
              <w:t>Sat</w:t>
            </w:r>
          </w:p>
        </w:tc>
        <w:tc>
          <w:tcPr>
            <w:tcW w:w="2141" w:type="dxa"/>
            <w:tcBorders>
              <w:top w:val="nil"/>
              <w:left w:val="single" w:sz="4" w:space="0" w:color="auto"/>
              <w:bottom w:val="single" w:sz="4" w:space="0" w:color="auto"/>
              <w:right w:val="single" w:sz="4" w:space="0" w:color="auto"/>
            </w:tcBorders>
            <w:shd w:val="clear" w:color="auto" w:fill="auto"/>
          </w:tcPr>
          <w:p w14:paraId="4637B0CC" w14:textId="77777777" w:rsidR="00E15C0D" w:rsidRPr="00512BE3" w:rsidRDefault="00E15C0D" w:rsidP="00E15C0D">
            <w:pPr>
              <w:jc w:val="right"/>
              <w:rPr>
                <w:sz w:val="20"/>
                <w:szCs w:val="20"/>
                <w:lang w:val="bs-Latn-BA" w:eastAsia="bs-Latn-BA"/>
              </w:rPr>
            </w:pPr>
            <w:r w:rsidRPr="00512BE3">
              <w:rPr>
                <w:sz w:val="20"/>
                <w:szCs w:val="20"/>
                <w:lang w:val="bs-Latn-BA" w:eastAsia="bs-Latn-BA"/>
              </w:rPr>
              <w:t>113.470,00</w:t>
            </w:r>
          </w:p>
        </w:tc>
      </w:tr>
      <w:tr w:rsidR="00E15C0D" w:rsidRPr="00512BE3" w14:paraId="5B419DB7"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D217CC9" w14:textId="77777777" w:rsidR="00E15C0D" w:rsidRPr="00512BE3" w:rsidRDefault="00E15C0D" w:rsidP="00E15C0D">
            <w:pPr>
              <w:jc w:val="center"/>
              <w:rPr>
                <w:sz w:val="20"/>
                <w:szCs w:val="20"/>
                <w:lang w:val="bs-Latn-BA" w:eastAsia="bs-Latn-BA"/>
              </w:rPr>
            </w:pPr>
            <w:r w:rsidRPr="00512BE3">
              <w:rPr>
                <w:sz w:val="20"/>
                <w:szCs w:val="20"/>
                <w:lang w:val="bs-Latn-BA" w:eastAsia="bs-Latn-BA"/>
              </w:rPr>
              <w:t>10</w:t>
            </w:r>
          </w:p>
        </w:tc>
        <w:tc>
          <w:tcPr>
            <w:tcW w:w="6281" w:type="dxa"/>
            <w:tcBorders>
              <w:top w:val="nil"/>
              <w:left w:val="nil"/>
              <w:bottom w:val="single" w:sz="4" w:space="0" w:color="auto"/>
              <w:right w:val="single" w:sz="4" w:space="0" w:color="auto"/>
            </w:tcBorders>
            <w:shd w:val="clear" w:color="auto" w:fill="auto"/>
          </w:tcPr>
          <w:p w14:paraId="08BD2B13" w14:textId="77777777" w:rsidR="00E15C0D" w:rsidRPr="00512BE3" w:rsidRDefault="00E15C0D" w:rsidP="006F31E6">
            <w:pPr>
              <w:rPr>
                <w:sz w:val="20"/>
                <w:szCs w:val="20"/>
                <w:lang w:val="bs-Latn-BA" w:eastAsia="bs-Latn-BA"/>
              </w:rPr>
            </w:pPr>
            <w:r w:rsidRPr="00512BE3">
              <w:rPr>
                <w:sz w:val="20"/>
                <w:szCs w:val="20"/>
                <w:lang w:val="bs-Latn-BA" w:eastAsia="bs-Latn-BA"/>
              </w:rPr>
              <w:t>Motocikl, bicikl, vozilo za golf terene</w:t>
            </w:r>
          </w:p>
        </w:tc>
        <w:tc>
          <w:tcPr>
            <w:tcW w:w="2141" w:type="dxa"/>
            <w:tcBorders>
              <w:top w:val="nil"/>
              <w:left w:val="single" w:sz="4" w:space="0" w:color="auto"/>
              <w:bottom w:val="single" w:sz="4" w:space="0" w:color="auto"/>
              <w:right w:val="single" w:sz="4" w:space="0" w:color="auto"/>
            </w:tcBorders>
            <w:shd w:val="clear" w:color="auto" w:fill="auto"/>
          </w:tcPr>
          <w:p w14:paraId="5C2A3BB6" w14:textId="77777777" w:rsidR="00E15C0D" w:rsidRPr="00512BE3" w:rsidRDefault="00E15C0D" w:rsidP="00E15C0D">
            <w:pPr>
              <w:jc w:val="right"/>
              <w:rPr>
                <w:sz w:val="20"/>
                <w:szCs w:val="20"/>
                <w:lang w:val="bs-Latn-BA" w:eastAsia="bs-Latn-BA"/>
              </w:rPr>
            </w:pPr>
            <w:r w:rsidRPr="00512BE3">
              <w:rPr>
                <w:sz w:val="20"/>
                <w:szCs w:val="20"/>
                <w:lang w:val="bs-Latn-BA" w:eastAsia="bs-Latn-BA"/>
              </w:rPr>
              <w:t>112.060,00</w:t>
            </w:r>
          </w:p>
        </w:tc>
      </w:tr>
      <w:tr w:rsidR="00E15C0D" w:rsidRPr="00512BE3" w14:paraId="6C4A1326"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F4C6532" w14:textId="77777777" w:rsidR="00E15C0D" w:rsidRPr="00512BE3" w:rsidRDefault="00E15C0D" w:rsidP="00E15C0D">
            <w:pPr>
              <w:jc w:val="center"/>
              <w:rPr>
                <w:sz w:val="20"/>
                <w:szCs w:val="20"/>
                <w:lang w:val="bs-Latn-BA" w:eastAsia="bs-Latn-BA"/>
              </w:rPr>
            </w:pPr>
            <w:r w:rsidRPr="00512BE3">
              <w:rPr>
                <w:sz w:val="20"/>
                <w:szCs w:val="20"/>
                <w:lang w:val="bs-Latn-BA" w:eastAsia="bs-Latn-BA"/>
              </w:rPr>
              <w:t>11</w:t>
            </w:r>
          </w:p>
        </w:tc>
        <w:tc>
          <w:tcPr>
            <w:tcW w:w="6281" w:type="dxa"/>
            <w:tcBorders>
              <w:top w:val="nil"/>
              <w:left w:val="nil"/>
              <w:bottom w:val="single" w:sz="4" w:space="0" w:color="auto"/>
              <w:right w:val="single" w:sz="4" w:space="0" w:color="auto"/>
            </w:tcBorders>
            <w:shd w:val="clear" w:color="auto" w:fill="auto"/>
          </w:tcPr>
          <w:p w14:paraId="30D328B3" w14:textId="77777777" w:rsidR="00E15C0D" w:rsidRPr="00512BE3" w:rsidRDefault="00E15C0D" w:rsidP="006F31E6">
            <w:pPr>
              <w:rPr>
                <w:sz w:val="20"/>
                <w:szCs w:val="20"/>
                <w:lang w:val="bs-Latn-BA" w:eastAsia="bs-Latn-BA"/>
              </w:rPr>
            </w:pPr>
            <w:r w:rsidRPr="00512BE3">
              <w:rPr>
                <w:sz w:val="20"/>
                <w:szCs w:val="20"/>
                <w:lang w:val="bs-Latn-BA" w:eastAsia="bs-Latn-BA"/>
              </w:rPr>
              <w:t>Medicinska oprema, lijekovi i prekursori</w:t>
            </w:r>
          </w:p>
        </w:tc>
        <w:tc>
          <w:tcPr>
            <w:tcW w:w="2141" w:type="dxa"/>
            <w:tcBorders>
              <w:top w:val="nil"/>
              <w:left w:val="single" w:sz="4" w:space="0" w:color="auto"/>
              <w:bottom w:val="single" w:sz="4" w:space="0" w:color="auto"/>
              <w:right w:val="single" w:sz="4" w:space="0" w:color="auto"/>
            </w:tcBorders>
            <w:shd w:val="clear" w:color="auto" w:fill="auto"/>
          </w:tcPr>
          <w:p w14:paraId="2FCD267B" w14:textId="77777777" w:rsidR="00E15C0D" w:rsidRPr="00512BE3" w:rsidRDefault="00E15C0D" w:rsidP="00E15C0D">
            <w:pPr>
              <w:jc w:val="right"/>
              <w:rPr>
                <w:sz w:val="20"/>
                <w:szCs w:val="20"/>
                <w:lang w:val="bs-Latn-BA" w:eastAsia="bs-Latn-BA"/>
              </w:rPr>
            </w:pPr>
            <w:r w:rsidRPr="00512BE3">
              <w:rPr>
                <w:sz w:val="20"/>
                <w:szCs w:val="20"/>
                <w:lang w:val="bs-Latn-BA" w:eastAsia="bs-Latn-BA"/>
              </w:rPr>
              <w:t>98.169,53</w:t>
            </w:r>
          </w:p>
        </w:tc>
      </w:tr>
      <w:tr w:rsidR="00E15C0D" w:rsidRPr="00512BE3" w14:paraId="3FA40A41"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0CD8A2B" w14:textId="77777777" w:rsidR="00E15C0D" w:rsidRPr="00512BE3" w:rsidRDefault="00E15C0D" w:rsidP="00E15C0D">
            <w:pPr>
              <w:jc w:val="center"/>
              <w:rPr>
                <w:sz w:val="20"/>
                <w:szCs w:val="20"/>
                <w:lang w:val="bs-Latn-BA" w:eastAsia="bs-Latn-BA"/>
              </w:rPr>
            </w:pPr>
            <w:r w:rsidRPr="00512BE3">
              <w:rPr>
                <w:sz w:val="20"/>
                <w:szCs w:val="20"/>
                <w:lang w:val="bs-Latn-BA" w:eastAsia="bs-Latn-BA"/>
              </w:rPr>
              <w:t>12</w:t>
            </w:r>
          </w:p>
        </w:tc>
        <w:tc>
          <w:tcPr>
            <w:tcW w:w="6281" w:type="dxa"/>
            <w:tcBorders>
              <w:top w:val="nil"/>
              <w:left w:val="nil"/>
              <w:bottom w:val="single" w:sz="4" w:space="0" w:color="auto"/>
              <w:right w:val="single" w:sz="4" w:space="0" w:color="auto"/>
            </w:tcBorders>
            <w:shd w:val="clear" w:color="auto" w:fill="auto"/>
          </w:tcPr>
          <w:p w14:paraId="183A8D15" w14:textId="77777777" w:rsidR="00E15C0D" w:rsidRPr="00512BE3" w:rsidRDefault="00E15C0D" w:rsidP="006F31E6">
            <w:pPr>
              <w:rPr>
                <w:sz w:val="20"/>
                <w:szCs w:val="20"/>
                <w:lang w:val="bs-Latn-BA" w:eastAsia="bs-Latn-BA"/>
              </w:rPr>
            </w:pPr>
            <w:r w:rsidRPr="00512BE3">
              <w:rPr>
                <w:sz w:val="20"/>
                <w:szCs w:val="20"/>
                <w:lang w:val="bs-Latn-BA" w:eastAsia="bs-Latn-BA"/>
              </w:rPr>
              <w:t>Prehrambeni proizvodi</w:t>
            </w:r>
          </w:p>
        </w:tc>
        <w:tc>
          <w:tcPr>
            <w:tcW w:w="2141" w:type="dxa"/>
            <w:tcBorders>
              <w:top w:val="nil"/>
              <w:left w:val="single" w:sz="4" w:space="0" w:color="auto"/>
              <w:bottom w:val="single" w:sz="4" w:space="0" w:color="auto"/>
              <w:right w:val="single" w:sz="4" w:space="0" w:color="auto"/>
            </w:tcBorders>
            <w:shd w:val="clear" w:color="auto" w:fill="auto"/>
          </w:tcPr>
          <w:p w14:paraId="1943230B" w14:textId="77777777" w:rsidR="00E15C0D" w:rsidRPr="00512BE3" w:rsidRDefault="00E15C0D" w:rsidP="00E15C0D">
            <w:pPr>
              <w:jc w:val="right"/>
              <w:rPr>
                <w:sz w:val="20"/>
                <w:szCs w:val="20"/>
                <w:lang w:val="bs-Latn-BA" w:eastAsia="bs-Latn-BA"/>
              </w:rPr>
            </w:pPr>
            <w:r w:rsidRPr="00512BE3">
              <w:rPr>
                <w:sz w:val="20"/>
                <w:szCs w:val="20"/>
                <w:lang w:val="bs-Latn-BA" w:eastAsia="bs-Latn-BA"/>
              </w:rPr>
              <w:t>75.322,90</w:t>
            </w:r>
          </w:p>
        </w:tc>
      </w:tr>
      <w:tr w:rsidR="00E15C0D" w:rsidRPr="00512BE3" w14:paraId="15609CDC"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32A2E5E" w14:textId="77777777" w:rsidR="00E15C0D" w:rsidRPr="00512BE3" w:rsidRDefault="00E15C0D" w:rsidP="00E15C0D">
            <w:pPr>
              <w:jc w:val="center"/>
              <w:rPr>
                <w:sz w:val="20"/>
                <w:szCs w:val="20"/>
                <w:lang w:val="bs-Latn-BA" w:eastAsia="bs-Latn-BA"/>
              </w:rPr>
            </w:pPr>
            <w:r w:rsidRPr="00512BE3">
              <w:rPr>
                <w:sz w:val="20"/>
                <w:szCs w:val="20"/>
                <w:lang w:val="bs-Latn-BA" w:eastAsia="bs-Latn-BA"/>
              </w:rPr>
              <w:t>13</w:t>
            </w:r>
          </w:p>
        </w:tc>
        <w:tc>
          <w:tcPr>
            <w:tcW w:w="6281" w:type="dxa"/>
            <w:tcBorders>
              <w:top w:val="nil"/>
              <w:left w:val="nil"/>
              <w:bottom w:val="single" w:sz="4" w:space="0" w:color="auto"/>
              <w:right w:val="single" w:sz="4" w:space="0" w:color="auto"/>
            </w:tcBorders>
            <w:shd w:val="clear" w:color="auto" w:fill="auto"/>
          </w:tcPr>
          <w:p w14:paraId="54417BF4" w14:textId="77777777" w:rsidR="00E15C0D" w:rsidRPr="00512BE3" w:rsidRDefault="00E15C0D" w:rsidP="006F31E6">
            <w:pPr>
              <w:rPr>
                <w:sz w:val="20"/>
                <w:szCs w:val="20"/>
                <w:lang w:val="bs-Latn-BA" w:eastAsia="bs-Latn-BA"/>
              </w:rPr>
            </w:pPr>
            <w:r w:rsidRPr="00512BE3">
              <w:rPr>
                <w:sz w:val="20"/>
                <w:szCs w:val="20"/>
                <w:lang w:val="bs-Latn-BA" w:eastAsia="bs-Latn-BA"/>
              </w:rPr>
              <w:t>Kaiš, torba, novčanik, ruksak</w:t>
            </w:r>
          </w:p>
        </w:tc>
        <w:tc>
          <w:tcPr>
            <w:tcW w:w="2141" w:type="dxa"/>
            <w:tcBorders>
              <w:top w:val="nil"/>
              <w:left w:val="single" w:sz="4" w:space="0" w:color="auto"/>
              <w:bottom w:val="single" w:sz="4" w:space="0" w:color="auto"/>
              <w:right w:val="single" w:sz="4" w:space="0" w:color="auto"/>
            </w:tcBorders>
            <w:shd w:val="clear" w:color="auto" w:fill="auto"/>
          </w:tcPr>
          <w:p w14:paraId="6F3D1522" w14:textId="77777777" w:rsidR="00E15C0D" w:rsidRPr="00512BE3" w:rsidRDefault="00E15C0D" w:rsidP="00E15C0D">
            <w:pPr>
              <w:jc w:val="right"/>
              <w:rPr>
                <w:sz w:val="20"/>
                <w:szCs w:val="20"/>
                <w:lang w:val="bs-Latn-BA" w:eastAsia="bs-Latn-BA"/>
              </w:rPr>
            </w:pPr>
            <w:r w:rsidRPr="00512BE3">
              <w:rPr>
                <w:sz w:val="20"/>
                <w:szCs w:val="20"/>
                <w:lang w:val="bs-Latn-BA" w:eastAsia="bs-Latn-BA"/>
              </w:rPr>
              <w:t>73.955,00</w:t>
            </w:r>
          </w:p>
        </w:tc>
      </w:tr>
      <w:tr w:rsidR="00E15C0D" w:rsidRPr="00512BE3" w14:paraId="5D11B74D"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366E5FCA" w14:textId="77777777" w:rsidR="00E15C0D" w:rsidRPr="00512BE3" w:rsidRDefault="00E15C0D" w:rsidP="00E15C0D">
            <w:pPr>
              <w:jc w:val="center"/>
              <w:rPr>
                <w:sz w:val="20"/>
                <w:szCs w:val="20"/>
                <w:lang w:val="bs-Latn-BA" w:eastAsia="bs-Latn-BA"/>
              </w:rPr>
            </w:pPr>
            <w:r w:rsidRPr="00512BE3">
              <w:rPr>
                <w:sz w:val="20"/>
                <w:szCs w:val="20"/>
                <w:lang w:val="bs-Latn-BA" w:eastAsia="bs-Latn-BA"/>
              </w:rPr>
              <w:t>14</w:t>
            </w:r>
          </w:p>
        </w:tc>
        <w:tc>
          <w:tcPr>
            <w:tcW w:w="6281" w:type="dxa"/>
            <w:tcBorders>
              <w:top w:val="nil"/>
              <w:left w:val="nil"/>
              <w:bottom w:val="single" w:sz="4" w:space="0" w:color="auto"/>
              <w:right w:val="single" w:sz="4" w:space="0" w:color="auto"/>
            </w:tcBorders>
            <w:shd w:val="clear" w:color="auto" w:fill="auto"/>
          </w:tcPr>
          <w:p w14:paraId="435DA73E" w14:textId="77777777" w:rsidR="00E15C0D" w:rsidRPr="00512BE3" w:rsidRDefault="00E15C0D" w:rsidP="006F31E6">
            <w:pPr>
              <w:rPr>
                <w:sz w:val="20"/>
                <w:szCs w:val="20"/>
                <w:lang w:val="bs-Latn-BA" w:eastAsia="bs-Latn-BA"/>
              </w:rPr>
            </w:pPr>
            <w:r w:rsidRPr="00512BE3">
              <w:rPr>
                <w:sz w:val="20"/>
                <w:szCs w:val="20"/>
                <w:lang w:val="bs-Latn-BA" w:eastAsia="bs-Latn-BA"/>
              </w:rPr>
              <w:t>Snijeg sprej</w:t>
            </w:r>
          </w:p>
        </w:tc>
        <w:tc>
          <w:tcPr>
            <w:tcW w:w="2141" w:type="dxa"/>
            <w:tcBorders>
              <w:top w:val="nil"/>
              <w:left w:val="single" w:sz="4" w:space="0" w:color="auto"/>
              <w:bottom w:val="single" w:sz="4" w:space="0" w:color="auto"/>
              <w:right w:val="single" w:sz="4" w:space="0" w:color="auto"/>
            </w:tcBorders>
            <w:shd w:val="clear" w:color="auto" w:fill="auto"/>
          </w:tcPr>
          <w:p w14:paraId="7AE5CDB6" w14:textId="77777777" w:rsidR="00E15C0D" w:rsidRPr="00512BE3" w:rsidRDefault="00E15C0D" w:rsidP="00E15C0D">
            <w:pPr>
              <w:jc w:val="right"/>
              <w:rPr>
                <w:sz w:val="20"/>
                <w:szCs w:val="20"/>
                <w:lang w:val="bs-Latn-BA" w:eastAsia="bs-Latn-BA"/>
              </w:rPr>
            </w:pPr>
            <w:r w:rsidRPr="00512BE3">
              <w:rPr>
                <w:sz w:val="20"/>
                <w:szCs w:val="20"/>
                <w:lang w:val="bs-Latn-BA" w:eastAsia="bs-Latn-BA"/>
              </w:rPr>
              <w:t>69.810,00</w:t>
            </w:r>
          </w:p>
        </w:tc>
      </w:tr>
      <w:tr w:rsidR="00E15C0D" w:rsidRPr="00512BE3" w14:paraId="3DD17A29"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0BB1EC4D" w14:textId="77777777" w:rsidR="00E15C0D" w:rsidRPr="00512BE3" w:rsidRDefault="00E15C0D" w:rsidP="00E15C0D">
            <w:pPr>
              <w:jc w:val="center"/>
              <w:rPr>
                <w:sz w:val="20"/>
                <w:szCs w:val="20"/>
                <w:lang w:val="bs-Latn-BA" w:eastAsia="bs-Latn-BA"/>
              </w:rPr>
            </w:pPr>
            <w:r w:rsidRPr="00512BE3">
              <w:rPr>
                <w:sz w:val="20"/>
                <w:szCs w:val="20"/>
                <w:lang w:val="bs-Latn-BA" w:eastAsia="bs-Latn-BA"/>
              </w:rPr>
              <w:t>15</w:t>
            </w:r>
          </w:p>
        </w:tc>
        <w:tc>
          <w:tcPr>
            <w:tcW w:w="6281" w:type="dxa"/>
            <w:tcBorders>
              <w:top w:val="nil"/>
              <w:left w:val="nil"/>
              <w:bottom w:val="single" w:sz="4" w:space="0" w:color="auto"/>
              <w:right w:val="single" w:sz="4" w:space="0" w:color="auto"/>
            </w:tcBorders>
            <w:shd w:val="clear" w:color="auto" w:fill="auto"/>
          </w:tcPr>
          <w:p w14:paraId="43C30BF5" w14:textId="77777777" w:rsidR="00E15C0D" w:rsidRPr="00512BE3" w:rsidRDefault="00E15C0D" w:rsidP="006F31E6">
            <w:pPr>
              <w:rPr>
                <w:sz w:val="20"/>
                <w:szCs w:val="20"/>
                <w:lang w:val="bs-Latn-BA" w:eastAsia="bs-Latn-BA"/>
              </w:rPr>
            </w:pPr>
            <w:r w:rsidRPr="00512BE3">
              <w:rPr>
                <w:sz w:val="20"/>
                <w:szCs w:val="20"/>
                <w:lang w:val="bs-Latn-BA" w:eastAsia="bs-Latn-BA"/>
              </w:rPr>
              <w:t>Tehnička roba</w:t>
            </w:r>
          </w:p>
        </w:tc>
        <w:tc>
          <w:tcPr>
            <w:tcW w:w="2141" w:type="dxa"/>
            <w:tcBorders>
              <w:top w:val="nil"/>
              <w:left w:val="single" w:sz="4" w:space="0" w:color="auto"/>
              <w:bottom w:val="single" w:sz="4" w:space="0" w:color="auto"/>
              <w:right w:val="single" w:sz="4" w:space="0" w:color="auto"/>
            </w:tcBorders>
            <w:shd w:val="clear" w:color="auto" w:fill="auto"/>
          </w:tcPr>
          <w:p w14:paraId="2CAE8282" w14:textId="77777777" w:rsidR="00E15C0D" w:rsidRPr="00512BE3" w:rsidRDefault="00E15C0D" w:rsidP="00E15C0D">
            <w:pPr>
              <w:jc w:val="right"/>
              <w:rPr>
                <w:sz w:val="20"/>
                <w:szCs w:val="20"/>
                <w:lang w:val="bs-Latn-BA" w:eastAsia="bs-Latn-BA"/>
              </w:rPr>
            </w:pPr>
            <w:r w:rsidRPr="00512BE3">
              <w:rPr>
                <w:sz w:val="20"/>
                <w:szCs w:val="20"/>
                <w:lang w:val="bs-Latn-BA" w:eastAsia="bs-Latn-BA"/>
              </w:rPr>
              <w:t>62.720,00</w:t>
            </w:r>
          </w:p>
        </w:tc>
      </w:tr>
      <w:tr w:rsidR="00E15C0D" w:rsidRPr="00512BE3" w14:paraId="324F3AB4"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84854EE" w14:textId="77777777" w:rsidR="00E15C0D" w:rsidRPr="00512BE3" w:rsidRDefault="00E15C0D" w:rsidP="00E15C0D">
            <w:pPr>
              <w:jc w:val="center"/>
              <w:rPr>
                <w:sz w:val="20"/>
                <w:szCs w:val="20"/>
                <w:lang w:val="bs-Latn-BA" w:eastAsia="bs-Latn-BA"/>
              </w:rPr>
            </w:pPr>
            <w:r w:rsidRPr="00512BE3">
              <w:rPr>
                <w:sz w:val="20"/>
                <w:szCs w:val="20"/>
                <w:lang w:val="bs-Latn-BA" w:eastAsia="bs-Latn-BA"/>
              </w:rPr>
              <w:t>16</w:t>
            </w:r>
          </w:p>
        </w:tc>
        <w:tc>
          <w:tcPr>
            <w:tcW w:w="6281" w:type="dxa"/>
            <w:tcBorders>
              <w:top w:val="nil"/>
              <w:left w:val="nil"/>
              <w:bottom w:val="single" w:sz="4" w:space="0" w:color="auto"/>
              <w:right w:val="single" w:sz="4" w:space="0" w:color="auto"/>
            </w:tcBorders>
            <w:shd w:val="clear" w:color="auto" w:fill="auto"/>
          </w:tcPr>
          <w:p w14:paraId="79EF06B9" w14:textId="77777777" w:rsidR="00E15C0D" w:rsidRPr="00512BE3" w:rsidRDefault="00E15C0D" w:rsidP="006F31E6">
            <w:pPr>
              <w:rPr>
                <w:sz w:val="20"/>
                <w:szCs w:val="20"/>
                <w:lang w:val="bs-Latn-BA" w:eastAsia="bs-Latn-BA"/>
              </w:rPr>
            </w:pPr>
            <w:r w:rsidRPr="00512BE3">
              <w:rPr>
                <w:sz w:val="20"/>
                <w:szCs w:val="20"/>
                <w:lang w:val="bs-Latn-BA" w:eastAsia="bs-Latn-BA"/>
              </w:rPr>
              <w:t>Bijela tehnika/kućanski aparati</w:t>
            </w:r>
          </w:p>
        </w:tc>
        <w:tc>
          <w:tcPr>
            <w:tcW w:w="2141" w:type="dxa"/>
            <w:tcBorders>
              <w:top w:val="nil"/>
              <w:left w:val="single" w:sz="4" w:space="0" w:color="auto"/>
              <w:bottom w:val="single" w:sz="4" w:space="0" w:color="auto"/>
              <w:right w:val="single" w:sz="4" w:space="0" w:color="auto"/>
            </w:tcBorders>
            <w:shd w:val="clear" w:color="auto" w:fill="auto"/>
          </w:tcPr>
          <w:p w14:paraId="61E1E65C" w14:textId="77777777" w:rsidR="00E15C0D" w:rsidRPr="00512BE3" w:rsidRDefault="00E15C0D" w:rsidP="00E15C0D">
            <w:pPr>
              <w:jc w:val="right"/>
              <w:rPr>
                <w:sz w:val="20"/>
                <w:szCs w:val="20"/>
                <w:lang w:val="bs-Latn-BA" w:eastAsia="bs-Latn-BA"/>
              </w:rPr>
            </w:pPr>
            <w:r w:rsidRPr="00512BE3">
              <w:rPr>
                <w:sz w:val="20"/>
                <w:szCs w:val="20"/>
                <w:lang w:val="bs-Latn-BA" w:eastAsia="bs-Latn-BA"/>
              </w:rPr>
              <w:t>56.380,00</w:t>
            </w:r>
          </w:p>
        </w:tc>
      </w:tr>
      <w:tr w:rsidR="00E15C0D" w:rsidRPr="00512BE3" w14:paraId="64D77BE3"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48BD8B8" w14:textId="77777777" w:rsidR="00E15C0D" w:rsidRPr="00512BE3" w:rsidRDefault="00E15C0D" w:rsidP="00E15C0D">
            <w:pPr>
              <w:jc w:val="center"/>
              <w:rPr>
                <w:sz w:val="20"/>
                <w:szCs w:val="20"/>
                <w:lang w:val="bs-Latn-BA" w:eastAsia="bs-Latn-BA"/>
              </w:rPr>
            </w:pPr>
            <w:r w:rsidRPr="00512BE3">
              <w:rPr>
                <w:sz w:val="20"/>
                <w:szCs w:val="20"/>
                <w:lang w:val="bs-Latn-BA" w:eastAsia="bs-Latn-BA"/>
              </w:rPr>
              <w:t>17</w:t>
            </w:r>
          </w:p>
        </w:tc>
        <w:tc>
          <w:tcPr>
            <w:tcW w:w="6281" w:type="dxa"/>
            <w:tcBorders>
              <w:top w:val="nil"/>
              <w:left w:val="nil"/>
              <w:bottom w:val="single" w:sz="4" w:space="0" w:color="auto"/>
              <w:right w:val="single" w:sz="4" w:space="0" w:color="auto"/>
            </w:tcBorders>
            <w:shd w:val="clear" w:color="auto" w:fill="auto"/>
          </w:tcPr>
          <w:p w14:paraId="2405CFB4" w14:textId="77777777" w:rsidR="00E15C0D" w:rsidRPr="00512BE3" w:rsidRDefault="00E15C0D" w:rsidP="006F31E6">
            <w:pPr>
              <w:rPr>
                <w:sz w:val="20"/>
                <w:szCs w:val="20"/>
                <w:lang w:val="bs-Latn-BA" w:eastAsia="bs-Latn-BA"/>
              </w:rPr>
            </w:pPr>
            <w:r w:rsidRPr="00512BE3">
              <w:rPr>
                <w:sz w:val="20"/>
                <w:szCs w:val="20"/>
                <w:lang w:val="bs-Latn-BA" w:eastAsia="bs-Latn-BA"/>
              </w:rPr>
              <w:t>Kozmetički, higijenski proizvodi i parfemi</w:t>
            </w:r>
          </w:p>
        </w:tc>
        <w:tc>
          <w:tcPr>
            <w:tcW w:w="2141" w:type="dxa"/>
            <w:tcBorders>
              <w:top w:val="nil"/>
              <w:left w:val="single" w:sz="4" w:space="0" w:color="auto"/>
              <w:bottom w:val="single" w:sz="4" w:space="0" w:color="auto"/>
              <w:right w:val="single" w:sz="4" w:space="0" w:color="auto"/>
            </w:tcBorders>
            <w:shd w:val="clear" w:color="auto" w:fill="auto"/>
          </w:tcPr>
          <w:p w14:paraId="0DFE0376" w14:textId="77777777" w:rsidR="00E15C0D" w:rsidRPr="00512BE3" w:rsidRDefault="00E15C0D" w:rsidP="00E15C0D">
            <w:pPr>
              <w:jc w:val="right"/>
              <w:rPr>
                <w:sz w:val="20"/>
                <w:szCs w:val="20"/>
                <w:lang w:val="bs-Latn-BA" w:eastAsia="bs-Latn-BA"/>
              </w:rPr>
            </w:pPr>
            <w:r w:rsidRPr="00512BE3">
              <w:rPr>
                <w:sz w:val="20"/>
                <w:szCs w:val="20"/>
                <w:lang w:val="bs-Latn-BA" w:eastAsia="bs-Latn-BA"/>
              </w:rPr>
              <w:t>53.780,50</w:t>
            </w:r>
          </w:p>
        </w:tc>
      </w:tr>
      <w:tr w:rsidR="00E15C0D" w:rsidRPr="00512BE3" w14:paraId="1E6D623D" w14:textId="77777777" w:rsidTr="00E15C0D">
        <w:trPr>
          <w:trHeight w:val="68"/>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9B8B23F" w14:textId="77777777" w:rsidR="00E15C0D" w:rsidRPr="00512BE3" w:rsidRDefault="00E15C0D" w:rsidP="00E15C0D">
            <w:pPr>
              <w:jc w:val="center"/>
              <w:rPr>
                <w:sz w:val="20"/>
                <w:szCs w:val="20"/>
                <w:lang w:val="bs-Latn-BA" w:eastAsia="bs-Latn-BA"/>
              </w:rPr>
            </w:pPr>
            <w:r w:rsidRPr="00512BE3">
              <w:rPr>
                <w:sz w:val="20"/>
                <w:szCs w:val="20"/>
                <w:lang w:val="bs-Latn-BA" w:eastAsia="bs-Latn-BA"/>
              </w:rPr>
              <w:t>18</w:t>
            </w:r>
          </w:p>
        </w:tc>
        <w:tc>
          <w:tcPr>
            <w:tcW w:w="6281" w:type="dxa"/>
            <w:tcBorders>
              <w:top w:val="nil"/>
              <w:left w:val="nil"/>
              <w:bottom w:val="single" w:sz="4" w:space="0" w:color="auto"/>
              <w:right w:val="single" w:sz="4" w:space="0" w:color="auto"/>
            </w:tcBorders>
            <w:shd w:val="clear" w:color="auto" w:fill="auto"/>
          </w:tcPr>
          <w:p w14:paraId="7D9ADB3F" w14:textId="77777777" w:rsidR="00E15C0D" w:rsidRPr="00512BE3" w:rsidRDefault="00E15C0D" w:rsidP="006F31E6">
            <w:pPr>
              <w:rPr>
                <w:sz w:val="20"/>
                <w:szCs w:val="20"/>
                <w:lang w:val="bs-Latn-BA" w:eastAsia="bs-Latn-BA"/>
              </w:rPr>
            </w:pPr>
            <w:r w:rsidRPr="00512BE3">
              <w:rPr>
                <w:sz w:val="20"/>
                <w:szCs w:val="20"/>
                <w:lang w:val="bs-Latn-BA" w:eastAsia="bs-Latn-BA"/>
              </w:rPr>
              <w:t>Ostala roba</w:t>
            </w:r>
          </w:p>
        </w:tc>
        <w:tc>
          <w:tcPr>
            <w:tcW w:w="2141" w:type="dxa"/>
            <w:tcBorders>
              <w:top w:val="nil"/>
              <w:left w:val="single" w:sz="4" w:space="0" w:color="auto"/>
              <w:bottom w:val="single" w:sz="4" w:space="0" w:color="auto"/>
              <w:right w:val="single" w:sz="4" w:space="0" w:color="auto"/>
            </w:tcBorders>
            <w:shd w:val="clear" w:color="auto" w:fill="auto"/>
          </w:tcPr>
          <w:p w14:paraId="38DA0137" w14:textId="77777777" w:rsidR="00E15C0D" w:rsidRPr="00512BE3" w:rsidRDefault="00E15C0D" w:rsidP="00E15C0D">
            <w:pPr>
              <w:jc w:val="right"/>
              <w:rPr>
                <w:sz w:val="20"/>
                <w:szCs w:val="20"/>
                <w:lang w:val="bs-Latn-BA" w:eastAsia="bs-Latn-BA"/>
              </w:rPr>
            </w:pPr>
            <w:r w:rsidRPr="00512BE3">
              <w:rPr>
                <w:sz w:val="20"/>
                <w:szCs w:val="20"/>
                <w:lang w:val="bs-Latn-BA" w:eastAsia="bs-Latn-BA"/>
              </w:rPr>
              <w:t>492.073,50</w:t>
            </w:r>
          </w:p>
        </w:tc>
      </w:tr>
      <w:tr w:rsidR="00E15C0D" w:rsidRPr="00512BE3" w14:paraId="60BCE16A" w14:textId="77777777" w:rsidTr="00E15C0D">
        <w:trPr>
          <w:trHeight w:val="68"/>
          <w:jc w:val="center"/>
        </w:trPr>
        <w:tc>
          <w:tcPr>
            <w:tcW w:w="689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14:paraId="655E8E08" w14:textId="77777777" w:rsidR="00E15C0D" w:rsidRPr="00512BE3" w:rsidRDefault="00E15C0D" w:rsidP="00E15C0D">
            <w:pPr>
              <w:rPr>
                <w:b/>
                <w:sz w:val="20"/>
                <w:szCs w:val="20"/>
                <w:lang w:val="bs-Latn-BA" w:eastAsia="bs-Latn-BA"/>
              </w:rPr>
            </w:pPr>
            <w:r w:rsidRPr="00512BE3">
              <w:rPr>
                <w:b/>
                <w:sz w:val="20"/>
                <w:szCs w:val="20"/>
                <w:lang w:val="bs-Latn-BA" w:eastAsia="bs-Latn-BA"/>
              </w:rPr>
              <w:t>UKUPNO:</w:t>
            </w:r>
          </w:p>
        </w:tc>
        <w:tc>
          <w:tcPr>
            <w:tcW w:w="2141" w:type="dxa"/>
            <w:tcBorders>
              <w:top w:val="single" w:sz="4" w:space="0" w:color="auto"/>
              <w:left w:val="single" w:sz="4" w:space="0" w:color="auto"/>
              <w:bottom w:val="single" w:sz="4" w:space="0" w:color="auto"/>
              <w:right w:val="single" w:sz="4" w:space="0" w:color="auto"/>
            </w:tcBorders>
            <w:shd w:val="clear" w:color="auto" w:fill="B8CCE4"/>
            <w:vAlign w:val="center"/>
          </w:tcPr>
          <w:p w14:paraId="777BBADE" w14:textId="77777777" w:rsidR="00E15C0D" w:rsidRPr="00512BE3" w:rsidRDefault="00E15C0D" w:rsidP="00E15C0D">
            <w:pPr>
              <w:jc w:val="right"/>
              <w:rPr>
                <w:b/>
                <w:bCs/>
                <w:sz w:val="20"/>
                <w:szCs w:val="20"/>
                <w:lang w:val="bs-Latn-BA" w:eastAsia="bs-Latn-BA"/>
              </w:rPr>
            </w:pPr>
            <w:r w:rsidRPr="00512BE3">
              <w:rPr>
                <w:b/>
                <w:bCs/>
                <w:sz w:val="20"/>
                <w:szCs w:val="20"/>
                <w:lang w:val="bs-Latn-BA" w:eastAsia="bs-Latn-BA"/>
              </w:rPr>
              <w:t>7.376.824,87</w:t>
            </w:r>
          </w:p>
        </w:tc>
      </w:tr>
      <w:tr w:rsidR="00E15C0D" w:rsidRPr="00512BE3" w14:paraId="73C80BB4" w14:textId="77777777" w:rsidTr="00E15C0D">
        <w:trPr>
          <w:trHeight w:val="68"/>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088A2" w14:textId="77777777" w:rsidR="00E15C0D" w:rsidRPr="00512BE3" w:rsidRDefault="00E15C0D" w:rsidP="00E15C0D">
            <w:pPr>
              <w:jc w:val="center"/>
              <w:rPr>
                <w:sz w:val="20"/>
                <w:szCs w:val="20"/>
                <w:lang w:val="bs-Latn-BA" w:eastAsia="bs-Latn-BA"/>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002682A0" w14:textId="77777777" w:rsidR="00E15C0D" w:rsidRPr="00512BE3" w:rsidRDefault="00E15C0D" w:rsidP="00E15C0D">
            <w:pPr>
              <w:jc w:val="center"/>
              <w:rPr>
                <w:sz w:val="20"/>
                <w:szCs w:val="20"/>
                <w:lang w:val="bs-Latn-BA" w:eastAsia="bs-Latn-BA"/>
              </w:rPr>
            </w:pPr>
            <w:r w:rsidRPr="00512BE3">
              <w:rPr>
                <w:sz w:val="20"/>
                <w:szCs w:val="20"/>
                <w:lang w:val="bs-Latn-BA" w:eastAsia="bs-Latn-BA"/>
              </w:rPr>
              <w:t>Protivvrijednost robe oduzete po rješenjima Suda</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bottom"/>
          </w:tcPr>
          <w:p w14:paraId="606DEA72" w14:textId="77777777" w:rsidR="00E15C0D" w:rsidRPr="00512BE3" w:rsidRDefault="00E15C0D" w:rsidP="00E15C0D">
            <w:pPr>
              <w:jc w:val="right"/>
              <w:rPr>
                <w:bCs/>
                <w:sz w:val="20"/>
                <w:szCs w:val="20"/>
                <w:lang w:val="bs-Latn-BA" w:eastAsia="bs-Latn-BA"/>
              </w:rPr>
            </w:pPr>
            <w:r w:rsidRPr="00512BE3">
              <w:rPr>
                <w:bCs/>
                <w:sz w:val="20"/>
                <w:szCs w:val="20"/>
                <w:lang w:val="bs-Latn-BA" w:eastAsia="bs-Latn-BA"/>
              </w:rPr>
              <w:t>1.771,30</w:t>
            </w:r>
          </w:p>
        </w:tc>
      </w:tr>
      <w:tr w:rsidR="00E15C0D" w:rsidRPr="00512BE3" w14:paraId="732F9C52" w14:textId="77777777" w:rsidTr="00E15C0D">
        <w:trPr>
          <w:trHeight w:val="68"/>
          <w:jc w:val="center"/>
        </w:trPr>
        <w:tc>
          <w:tcPr>
            <w:tcW w:w="689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14:paraId="5C75DD05" w14:textId="77777777" w:rsidR="00E15C0D" w:rsidRPr="00512BE3" w:rsidRDefault="00E15C0D" w:rsidP="00E15C0D">
            <w:pPr>
              <w:rPr>
                <w:b/>
                <w:sz w:val="20"/>
                <w:szCs w:val="20"/>
                <w:lang w:val="bs-Latn-BA" w:eastAsia="bs-Latn-BA"/>
              </w:rPr>
            </w:pPr>
            <w:r w:rsidRPr="00512BE3">
              <w:rPr>
                <w:b/>
                <w:sz w:val="20"/>
                <w:szCs w:val="20"/>
                <w:lang w:val="bs-Latn-BA" w:eastAsia="bs-Latn-BA"/>
              </w:rPr>
              <w:t>UKUPNO GSKiP:</w:t>
            </w:r>
          </w:p>
        </w:tc>
        <w:tc>
          <w:tcPr>
            <w:tcW w:w="2141" w:type="dxa"/>
            <w:tcBorders>
              <w:top w:val="single" w:sz="4" w:space="0" w:color="auto"/>
              <w:left w:val="single" w:sz="4" w:space="0" w:color="auto"/>
              <w:bottom w:val="single" w:sz="4" w:space="0" w:color="auto"/>
              <w:right w:val="single" w:sz="4" w:space="0" w:color="auto"/>
            </w:tcBorders>
            <w:shd w:val="clear" w:color="auto" w:fill="B8CCE4"/>
            <w:vAlign w:val="center"/>
          </w:tcPr>
          <w:p w14:paraId="30ACE08F" w14:textId="77777777" w:rsidR="00E15C0D" w:rsidRPr="00512BE3" w:rsidRDefault="00E15C0D" w:rsidP="00E15C0D">
            <w:pPr>
              <w:jc w:val="right"/>
              <w:rPr>
                <w:b/>
                <w:bCs/>
                <w:sz w:val="20"/>
                <w:szCs w:val="20"/>
                <w:lang w:val="bs-Latn-BA" w:eastAsia="bs-Latn-BA"/>
              </w:rPr>
            </w:pPr>
            <w:r w:rsidRPr="00512BE3">
              <w:rPr>
                <w:b/>
                <w:bCs/>
                <w:sz w:val="20"/>
                <w:szCs w:val="20"/>
                <w:lang w:val="bs-Latn-BA" w:eastAsia="bs-Latn-BA"/>
              </w:rPr>
              <w:t>7.378.596,17</w:t>
            </w:r>
          </w:p>
        </w:tc>
      </w:tr>
      <w:tr w:rsidR="00E15C0D" w:rsidRPr="00512BE3" w14:paraId="1D24430C" w14:textId="77777777" w:rsidTr="00E15C0D">
        <w:trPr>
          <w:trHeight w:val="68"/>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CF5D8" w14:textId="77777777" w:rsidR="00E15C0D" w:rsidRPr="00512BE3" w:rsidRDefault="00E15C0D" w:rsidP="00E15C0D">
            <w:pPr>
              <w:jc w:val="center"/>
              <w:rPr>
                <w:sz w:val="20"/>
                <w:szCs w:val="20"/>
                <w:lang w:val="bs-Latn-BA" w:eastAsia="bs-Latn-BA"/>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2EC02348" w14:textId="77777777" w:rsidR="00E15C0D" w:rsidRPr="00512BE3" w:rsidRDefault="00E15C0D" w:rsidP="00E15C0D">
            <w:pPr>
              <w:jc w:val="center"/>
              <w:rPr>
                <w:sz w:val="20"/>
                <w:szCs w:val="20"/>
                <w:lang w:val="bs-Latn-BA" w:eastAsia="bs-Latn-BA"/>
              </w:rPr>
            </w:pPr>
            <w:r w:rsidRPr="00512BE3">
              <w:rPr>
                <w:sz w:val="20"/>
                <w:szCs w:val="20"/>
                <w:lang w:val="bs-Latn-BA" w:eastAsia="bs-Latn-BA"/>
              </w:rPr>
              <w:t>Ustupljeno drugim organizacionim jedinicama UIO i drugim organima</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bottom"/>
          </w:tcPr>
          <w:p w14:paraId="1C164365" w14:textId="77777777" w:rsidR="00E15C0D" w:rsidRPr="00512BE3" w:rsidRDefault="00E15C0D" w:rsidP="00E15C0D">
            <w:pPr>
              <w:jc w:val="right"/>
              <w:rPr>
                <w:bCs/>
                <w:sz w:val="20"/>
                <w:szCs w:val="20"/>
                <w:lang w:val="bs-Latn-BA" w:eastAsia="bs-Latn-BA"/>
              </w:rPr>
            </w:pPr>
            <w:r w:rsidRPr="00512BE3">
              <w:rPr>
                <w:bCs/>
                <w:sz w:val="20"/>
                <w:szCs w:val="20"/>
                <w:lang w:val="bs-Latn-BA" w:eastAsia="bs-Latn-BA"/>
              </w:rPr>
              <w:t>456.099,90</w:t>
            </w:r>
          </w:p>
        </w:tc>
      </w:tr>
      <w:tr w:rsidR="00E15C0D" w:rsidRPr="00512BE3" w14:paraId="2CA830A6" w14:textId="77777777" w:rsidTr="00E15C0D">
        <w:trPr>
          <w:trHeight w:val="68"/>
          <w:jc w:val="center"/>
        </w:trPr>
        <w:tc>
          <w:tcPr>
            <w:tcW w:w="689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14:paraId="132CF688" w14:textId="77777777" w:rsidR="00E15C0D" w:rsidRPr="00512BE3" w:rsidRDefault="00E15C0D" w:rsidP="00E15C0D">
            <w:pPr>
              <w:rPr>
                <w:b/>
                <w:sz w:val="20"/>
                <w:szCs w:val="20"/>
                <w:lang w:val="bs-Latn-BA" w:eastAsia="bs-Latn-BA"/>
              </w:rPr>
            </w:pPr>
            <w:r w:rsidRPr="00512BE3">
              <w:rPr>
                <w:b/>
                <w:sz w:val="20"/>
                <w:szCs w:val="20"/>
                <w:lang w:val="bs-Latn-BA" w:eastAsia="bs-Latn-BA"/>
              </w:rPr>
              <w:t>UKUPNO:</w:t>
            </w:r>
          </w:p>
        </w:tc>
        <w:tc>
          <w:tcPr>
            <w:tcW w:w="2141" w:type="dxa"/>
            <w:tcBorders>
              <w:top w:val="single" w:sz="4" w:space="0" w:color="auto"/>
              <w:left w:val="single" w:sz="4" w:space="0" w:color="auto"/>
              <w:bottom w:val="single" w:sz="4" w:space="0" w:color="auto"/>
              <w:right w:val="single" w:sz="4" w:space="0" w:color="auto"/>
            </w:tcBorders>
            <w:shd w:val="clear" w:color="auto" w:fill="B8CCE4"/>
            <w:vAlign w:val="center"/>
          </w:tcPr>
          <w:p w14:paraId="3EFA8AB6" w14:textId="77777777" w:rsidR="00E15C0D" w:rsidRPr="00512BE3" w:rsidRDefault="00E15C0D" w:rsidP="00E15C0D">
            <w:pPr>
              <w:jc w:val="right"/>
              <w:rPr>
                <w:b/>
                <w:bCs/>
                <w:sz w:val="20"/>
                <w:szCs w:val="20"/>
                <w:lang w:val="bs-Latn-BA" w:eastAsia="bs-Latn-BA"/>
              </w:rPr>
            </w:pPr>
            <w:r w:rsidRPr="00512BE3">
              <w:rPr>
                <w:b/>
                <w:bCs/>
                <w:sz w:val="20"/>
                <w:szCs w:val="20"/>
                <w:lang w:val="bs-Latn-BA" w:eastAsia="bs-Latn-BA"/>
              </w:rPr>
              <w:t>7.834.696,07</w:t>
            </w:r>
          </w:p>
        </w:tc>
      </w:tr>
    </w:tbl>
    <w:p w14:paraId="6273B83E" w14:textId="2DC01D35" w:rsidR="002722B0" w:rsidRDefault="002722B0" w:rsidP="00C116E0">
      <w:pPr>
        <w:spacing w:before="120"/>
        <w:jc w:val="both"/>
        <w:rPr>
          <w:b/>
          <w:i/>
          <w:sz w:val="22"/>
          <w:szCs w:val="22"/>
          <w:lang w:val="bs-Latn-BA"/>
        </w:rPr>
      </w:pPr>
    </w:p>
    <w:p w14:paraId="53F439BA" w14:textId="25665911" w:rsidR="003E0A6A" w:rsidRPr="00512BE3" w:rsidRDefault="00ED37CB" w:rsidP="00C116E0">
      <w:pPr>
        <w:spacing w:before="120"/>
        <w:jc w:val="both"/>
        <w:rPr>
          <w:b/>
          <w:i/>
          <w:sz w:val="22"/>
          <w:szCs w:val="22"/>
          <w:lang w:val="bs-Latn-BA"/>
        </w:rPr>
      </w:pPr>
      <w:r w:rsidRPr="00512BE3">
        <w:rPr>
          <w:b/>
          <w:i/>
          <w:sz w:val="22"/>
          <w:szCs w:val="22"/>
          <w:lang w:val="bs-Latn-BA"/>
        </w:rPr>
        <w:t>Tabela 1</w:t>
      </w:r>
      <w:r w:rsidR="009714FD" w:rsidRPr="00512BE3">
        <w:rPr>
          <w:b/>
          <w:i/>
          <w:sz w:val="22"/>
          <w:szCs w:val="22"/>
          <w:lang w:val="bs-Latn-BA"/>
        </w:rPr>
        <w:t>7</w:t>
      </w:r>
      <w:r w:rsidR="003E0A6A" w:rsidRPr="00512BE3">
        <w:rPr>
          <w:b/>
          <w:i/>
          <w:sz w:val="22"/>
          <w:szCs w:val="22"/>
          <w:lang w:val="bs-Latn-BA"/>
        </w:rPr>
        <w:t>: Pregled količina i vrijednosti oduzetog duhana i duhanskih prerađevina</w:t>
      </w:r>
    </w:p>
    <w:tbl>
      <w:tblPr>
        <w:tblW w:w="9039" w:type="dxa"/>
        <w:jc w:val="center"/>
        <w:tblLook w:val="04A0" w:firstRow="1" w:lastRow="0" w:firstColumn="1" w:lastColumn="0" w:noHBand="0" w:noVBand="1"/>
      </w:tblPr>
      <w:tblGrid>
        <w:gridCol w:w="2259"/>
        <w:gridCol w:w="1164"/>
        <w:gridCol w:w="1371"/>
        <w:gridCol w:w="1233"/>
        <w:gridCol w:w="1507"/>
        <w:gridCol w:w="1505"/>
      </w:tblGrid>
      <w:tr w:rsidR="00E15C0D" w:rsidRPr="00512BE3" w14:paraId="3053345B" w14:textId="77777777" w:rsidTr="002A7378">
        <w:trPr>
          <w:trHeight w:val="364"/>
          <w:jc w:val="center"/>
        </w:trPr>
        <w:tc>
          <w:tcPr>
            <w:tcW w:w="22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5B577E38"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Vrsta robe</w:t>
            </w:r>
          </w:p>
        </w:tc>
        <w:tc>
          <w:tcPr>
            <w:tcW w:w="2535"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6920887" w14:textId="77777777" w:rsidR="00E15C0D" w:rsidRPr="00512BE3" w:rsidRDefault="00E15C0D" w:rsidP="00E15C0D">
            <w:pPr>
              <w:jc w:val="center"/>
              <w:rPr>
                <w:b/>
                <w:sz w:val="20"/>
                <w:szCs w:val="20"/>
                <w:lang w:val="bs-Latn-BA" w:eastAsia="bs-Latn-BA"/>
              </w:rPr>
            </w:pPr>
            <w:r w:rsidRPr="00512BE3">
              <w:rPr>
                <w:b/>
                <w:bCs/>
                <w:sz w:val="20"/>
                <w:szCs w:val="20"/>
                <w:lang w:val="bs-Latn-BA" w:eastAsia="bs-Latn-BA"/>
              </w:rPr>
              <w:t xml:space="preserve">2021. </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B5E093E" w14:textId="77777777" w:rsidR="00E15C0D" w:rsidRPr="00512BE3" w:rsidRDefault="00E15C0D" w:rsidP="00E15C0D">
            <w:pPr>
              <w:jc w:val="center"/>
              <w:rPr>
                <w:b/>
                <w:sz w:val="20"/>
                <w:szCs w:val="20"/>
                <w:lang w:val="bs-Latn-BA" w:eastAsia="bs-Latn-BA"/>
              </w:rPr>
            </w:pPr>
            <w:r w:rsidRPr="00512BE3">
              <w:rPr>
                <w:b/>
                <w:bCs/>
                <w:sz w:val="20"/>
                <w:szCs w:val="20"/>
                <w:lang w:val="bs-Latn-BA" w:eastAsia="bs-Latn-BA"/>
              </w:rPr>
              <w:t xml:space="preserve">2022. </w:t>
            </w:r>
          </w:p>
        </w:tc>
        <w:tc>
          <w:tcPr>
            <w:tcW w:w="1505" w:type="dxa"/>
            <w:vMerge w:val="restart"/>
            <w:tcBorders>
              <w:top w:val="single" w:sz="4" w:space="0" w:color="auto"/>
              <w:left w:val="single" w:sz="4" w:space="0" w:color="auto"/>
              <w:right w:val="single" w:sz="4" w:space="0" w:color="auto"/>
            </w:tcBorders>
            <w:shd w:val="clear" w:color="auto" w:fill="C6D9F1"/>
            <w:vAlign w:val="center"/>
          </w:tcPr>
          <w:p w14:paraId="11958670" w14:textId="77777777" w:rsidR="00E15C0D" w:rsidRPr="00512BE3" w:rsidRDefault="00E15C0D" w:rsidP="00E15C0D">
            <w:pPr>
              <w:jc w:val="center"/>
              <w:rPr>
                <w:b/>
                <w:bCs/>
                <w:sz w:val="20"/>
                <w:szCs w:val="20"/>
                <w:lang w:val="bs-Latn-BA" w:eastAsia="bs-Latn-BA"/>
              </w:rPr>
            </w:pPr>
            <w:r w:rsidRPr="00512BE3">
              <w:rPr>
                <w:b/>
                <w:bCs/>
                <w:sz w:val="20"/>
                <w:szCs w:val="20"/>
                <w:lang w:val="bs-Latn-BA" w:eastAsia="bs-Latn-BA"/>
              </w:rPr>
              <w:t>Procenat pada ili rasta vrijednosti +/-</w:t>
            </w:r>
          </w:p>
        </w:tc>
      </w:tr>
      <w:tr w:rsidR="002A7378" w:rsidRPr="00512BE3" w14:paraId="04EE9EFE" w14:textId="77777777" w:rsidTr="002A7378">
        <w:trPr>
          <w:trHeight w:val="502"/>
          <w:jc w:val="center"/>
        </w:trPr>
        <w:tc>
          <w:tcPr>
            <w:tcW w:w="2259" w:type="dxa"/>
            <w:vMerge/>
            <w:tcBorders>
              <w:top w:val="single" w:sz="4" w:space="0" w:color="auto"/>
              <w:left w:val="single" w:sz="8" w:space="0" w:color="auto"/>
              <w:bottom w:val="single" w:sz="8" w:space="0" w:color="auto"/>
              <w:right w:val="single" w:sz="8" w:space="0" w:color="auto"/>
            </w:tcBorders>
            <w:shd w:val="clear" w:color="auto" w:fill="C6D9F1"/>
            <w:vAlign w:val="center"/>
          </w:tcPr>
          <w:p w14:paraId="030C4D58" w14:textId="77777777" w:rsidR="00E15C0D" w:rsidRPr="00512BE3" w:rsidRDefault="00E15C0D" w:rsidP="00E15C0D">
            <w:pPr>
              <w:jc w:val="center"/>
              <w:rPr>
                <w:b/>
                <w:sz w:val="20"/>
                <w:szCs w:val="20"/>
                <w:lang w:val="bs-Latn-BA" w:eastAsia="bs-Latn-BA"/>
              </w:rPr>
            </w:pPr>
          </w:p>
        </w:tc>
        <w:tc>
          <w:tcPr>
            <w:tcW w:w="1164" w:type="dxa"/>
            <w:tcBorders>
              <w:top w:val="single" w:sz="4" w:space="0" w:color="auto"/>
              <w:left w:val="nil"/>
              <w:bottom w:val="single" w:sz="8" w:space="0" w:color="auto"/>
              <w:right w:val="single" w:sz="8" w:space="0" w:color="auto"/>
            </w:tcBorders>
            <w:shd w:val="clear" w:color="auto" w:fill="C6D9F1"/>
            <w:vAlign w:val="center"/>
          </w:tcPr>
          <w:p w14:paraId="09FFEAFC"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Količina</w:t>
            </w:r>
          </w:p>
        </w:tc>
        <w:tc>
          <w:tcPr>
            <w:tcW w:w="1371" w:type="dxa"/>
            <w:tcBorders>
              <w:top w:val="single" w:sz="4" w:space="0" w:color="auto"/>
              <w:left w:val="nil"/>
              <w:bottom w:val="single" w:sz="8" w:space="0" w:color="auto"/>
              <w:right w:val="single" w:sz="8" w:space="0" w:color="auto"/>
            </w:tcBorders>
            <w:shd w:val="clear" w:color="auto" w:fill="C6D9F1"/>
            <w:noWrap/>
            <w:vAlign w:val="center"/>
          </w:tcPr>
          <w:p w14:paraId="39E67A00"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 xml:space="preserve">Vrijednost </w:t>
            </w:r>
          </w:p>
          <w:p w14:paraId="59E3222A"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 xml:space="preserve">(u KM) </w:t>
            </w:r>
          </w:p>
        </w:tc>
        <w:tc>
          <w:tcPr>
            <w:tcW w:w="1233" w:type="dxa"/>
            <w:tcBorders>
              <w:top w:val="single" w:sz="4" w:space="0" w:color="auto"/>
              <w:left w:val="nil"/>
              <w:bottom w:val="single" w:sz="8" w:space="0" w:color="auto"/>
              <w:right w:val="single" w:sz="8" w:space="0" w:color="auto"/>
            </w:tcBorders>
            <w:shd w:val="clear" w:color="auto" w:fill="C6D9F1"/>
            <w:vAlign w:val="center"/>
          </w:tcPr>
          <w:p w14:paraId="79A27D72"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Količina</w:t>
            </w:r>
          </w:p>
        </w:tc>
        <w:tc>
          <w:tcPr>
            <w:tcW w:w="1506" w:type="dxa"/>
            <w:tcBorders>
              <w:top w:val="single" w:sz="4" w:space="0" w:color="auto"/>
              <w:left w:val="nil"/>
              <w:bottom w:val="single" w:sz="8" w:space="0" w:color="auto"/>
              <w:right w:val="single" w:sz="4" w:space="0" w:color="auto"/>
            </w:tcBorders>
            <w:shd w:val="clear" w:color="auto" w:fill="C6D9F1"/>
            <w:vAlign w:val="center"/>
          </w:tcPr>
          <w:p w14:paraId="69B37699"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 xml:space="preserve">Vrijednost </w:t>
            </w:r>
          </w:p>
          <w:p w14:paraId="24D9B2E9"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 xml:space="preserve">(u KM) </w:t>
            </w:r>
          </w:p>
        </w:tc>
        <w:tc>
          <w:tcPr>
            <w:tcW w:w="1505" w:type="dxa"/>
            <w:vMerge/>
            <w:tcBorders>
              <w:left w:val="single" w:sz="4" w:space="0" w:color="auto"/>
              <w:bottom w:val="single" w:sz="8" w:space="0" w:color="auto"/>
              <w:right w:val="single" w:sz="4" w:space="0" w:color="auto"/>
            </w:tcBorders>
            <w:shd w:val="clear" w:color="auto" w:fill="C6D9F1"/>
          </w:tcPr>
          <w:p w14:paraId="4EB15AA1" w14:textId="77777777" w:rsidR="00E15C0D" w:rsidRPr="00512BE3" w:rsidRDefault="00E15C0D" w:rsidP="00E15C0D">
            <w:pPr>
              <w:jc w:val="center"/>
              <w:rPr>
                <w:sz w:val="20"/>
                <w:szCs w:val="20"/>
                <w:lang w:val="bs-Latn-BA" w:eastAsia="bs-Latn-BA"/>
              </w:rPr>
            </w:pPr>
          </w:p>
        </w:tc>
      </w:tr>
      <w:tr w:rsidR="002A7378" w:rsidRPr="00512BE3" w14:paraId="1B69EBFB" w14:textId="77777777" w:rsidTr="002A7378">
        <w:trPr>
          <w:trHeight w:val="402"/>
          <w:jc w:val="center"/>
        </w:trPr>
        <w:tc>
          <w:tcPr>
            <w:tcW w:w="2259" w:type="dxa"/>
            <w:tcBorders>
              <w:top w:val="nil"/>
              <w:left w:val="single" w:sz="8" w:space="0" w:color="auto"/>
              <w:bottom w:val="single" w:sz="8" w:space="0" w:color="auto"/>
              <w:right w:val="single" w:sz="8" w:space="0" w:color="auto"/>
            </w:tcBorders>
            <w:shd w:val="clear" w:color="auto" w:fill="auto"/>
            <w:vAlign w:val="center"/>
            <w:hideMark/>
          </w:tcPr>
          <w:p w14:paraId="51563B35" w14:textId="77777777" w:rsidR="00E15C0D" w:rsidRPr="00512BE3" w:rsidRDefault="00E15C0D" w:rsidP="006F31E6">
            <w:pPr>
              <w:rPr>
                <w:b/>
                <w:sz w:val="20"/>
                <w:szCs w:val="20"/>
                <w:lang w:val="bs-Latn-BA" w:eastAsia="bs-Latn-BA"/>
              </w:rPr>
            </w:pPr>
            <w:r w:rsidRPr="00512BE3">
              <w:rPr>
                <w:b/>
                <w:sz w:val="20"/>
                <w:szCs w:val="20"/>
                <w:lang w:val="bs-Latn-BA" w:eastAsia="bs-Latn-BA"/>
              </w:rPr>
              <w:t>cigarete</w:t>
            </w:r>
          </w:p>
          <w:p w14:paraId="742A3E49" w14:textId="77777777" w:rsidR="00E15C0D" w:rsidRPr="00512BE3" w:rsidRDefault="00E15C0D" w:rsidP="006F31E6">
            <w:pPr>
              <w:rPr>
                <w:b/>
                <w:sz w:val="20"/>
                <w:szCs w:val="20"/>
                <w:lang w:val="bs-Latn-BA" w:eastAsia="bs-Latn-BA"/>
              </w:rPr>
            </w:pPr>
            <w:r w:rsidRPr="00512BE3">
              <w:rPr>
                <w:b/>
                <w:sz w:val="20"/>
                <w:szCs w:val="20"/>
                <w:lang w:val="bs-Latn-BA" w:eastAsia="bs-Latn-BA"/>
              </w:rPr>
              <w:t xml:space="preserve">(paklice) </w:t>
            </w:r>
          </w:p>
        </w:tc>
        <w:tc>
          <w:tcPr>
            <w:tcW w:w="1164" w:type="dxa"/>
            <w:tcBorders>
              <w:top w:val="nil"/>
              <w:left w:val="nil"/>
              <w:bottom w:val="single" w:sz="8" w:space="0" w:color="auto"/>
              <w:right w:val="single" w:sz="8" w:space="0" w:color="auto"/>
            </w:tcBorders>
            <w:shd w:val="clear" w:color="auto" w:fill="auto"/>
            <w:vAlign w:val="center"/>
            <w:hideMark/>
          </w:tcPr>
          <w:p w14:paraId="13A47527" w14:textId="77777777" w:rsidR="00E15C0D" w:rsidRPr="00512BE3" w:rsidRDefault="00E15C0D" w:rsidP="00E15C0D">
            <w:pPr>
              <w:jc w:val="center"/>
              <w:rPr>
                <w:sz w:val="20"/>
                <w:szCs w:val="20"/>
                <w:lang w:val="bs-Latn-BA" w:eastAsia="bs-Latn-BA"/>
              </w:rPr>
            </w:pPr>
            <w:r w:rsidRPr="00512BE3">
              <w:rPr>
                <w:sz w:val="20"/>
                <w:szCs w:val="20"/>
                <w:lang w:val="bs-Latn-BA" w:eastAsia="bs-Latn-BA"/>
              </w:rPr>
              <w:t>710.210</w:t>
            </w:r>
          </w:p>
        </w:tc>
        <w:tc>
          <w:tcPr>
            <w:tcW w:w="1371" w:type="dxa"/>
            <w:tcBorders>
              <w:top w:val="nil"/>
              <w:left w:val="nil"/>
              <w:bottom w:val="single" w:sz="8" w:space="0" w:color="auto"/>
              <w:right w:val="single" w:sz="8" w:space="0" w:color="auto"/>
            </w:tcBorders>
            <w:shd w:val="clear" w:color="auto" w:fill="auto"/>
            <w:noWrap/>
            <w:vAlign w:val="center"/>
            <w:hideMark/>
          </w:tcPr>
          <w:p w14:paraId="272F0BBF" w14:textId="77777777" w:rsidR="00E15C0D" w:rsidRPr="00512BE3" w:rsidRDefault="00E15C0D" w:rsidP="00E15C0D">
            <w:pPr>
              <w:jc w:val="right"/>
              <w:rPr>
                <w:sz w:val="20"/>
                <w:szCs w:val="20"/>
                <w:lang w:val="bs-Latn-BA" w:eastAsia="bs-Latn-BA"/>
              </w:rPr>
            </w:pPr>
            <w:r w:rsidRPr="00512BE3">
              <w:rPr>
                <w:sz w:val="20"/>
                <w:szCs w:val="20"/>
                <w:lang w:val="bs-Latn-BA" w:eastAsia="bs-Latn-BA"/>
              </w:rPr>
              <w:t>3.931.256</w:t>
            </w:r>
          </w:p>
        </w:tc>
        <w:tc>
          <w:tcPr>
            <w:tcW w:w="1233" w:type="dxa"/>
            <w:tcBorders>
              <w:top w:val="nil"/>
              <w:left w:val="nil"/>
              <w:bottom w:val="single" w:sz="8" w:space="0" w:color="auto"/>
              <w:right w:val="single" w:sz="8" w:space="0" w:color="auto"/>
            </w:tcBorders>
            <w:shd w:val="clear" w:color="auto" w:fill="auto"/>
            <w:vAlign w:val="center"/>
          </w:tcPr>
          <w:p w14:paraId="52E2692A" w14:textId="77777777" w:rsidR="00E15C0D" w:rsidRPr="00512BE3" w:rsidRDefault="00E15C0D" w:rsidP="00E15C0D">
            <w:pPr>
              <w:jc w:val="center"/>
              <w:rPr>
                <w:sz w:val="20"/>
                <w:szCs w:val="20"/>
                <w:lang w:val="bs-Latn-BA" w:eastAsia="bs-Latn-BA"/>
              </w:rPr>
            </w:pPr>
            <w:r w:rsidRPr="00512BE3">
              <w:rPr>
                <w:sz w:val="20"/>
                <w:szCs w:val="20"/>
                <w:lang w:val="bs-Latn-BA" w:eastAsia="bs-Latn-BA"/>
              </w:rPr>
              <w:t xml:space="preserve">144.576 </w:t>
            </w:r>
          </w:p>
        </w:tc>
        <w:tc>
          <w:tcPr>
            <w:tcW w:w="1506" w:type="dxa"/>
            <w:tcBorders>
              <w:top w:val="nil"/>
              <w:left w:val="nil"/>
              <w:bottom w:val="single" w:sz="8" w:space="0" w:color="auto"/>
              <w:right w:val="single" w:sz="8" w:space="0" w:color="auto"/>
            </w:tcBorders>
            <w:shd w:val="clear" w:color="auto" w:fill="auto"/>
            <w:vAlign w:val="center"/>
          </w:tcPr>
          <w:p w14:paraId="52E954BC" w14:textId="77777777" w:rsidR="00E15C0D" w:rsidRPr="00512BE3" w:rsidRDefault="00E15C0D" w:rsidP="00E15C0D">
            <w:pPr>
              <w:jc w:val="right"/>
              <w:rPr>
                <w:sz w:val="20"/>
                <w:szCs w:val="20"/>
                <w:lang w:val="bs-Latn-BA" w:eastAsia="bs-Latn-BA"/>
              </w:rPr>
            </w:pPr>
            <w:r w:rsidRPr="00512BE3">
              <w:rPr>
                <w:sz w:val="20"/>
                <w:szCs w:val="20"/>
                <w:lang w:val="bs-Latn-BA" w:eastAsia="bs-Latn-BA"/>
              </w:rPr>
              <w:t>866.208</w:t>
            </w:r>
          </w:p>
        </w:tc>
        <w:tc>
          <w:tcPr>
            <w:tcW w:w="1505" w:type="dxa"/>
            <w:tcBorders>
              <w:top w:val="nil"/>
              <w:left w:val="nil"/>
              <w:bottom w:val="single" w:sz="8" w:space="0" w:color="auto"/>
              <w:right w:val="single" w:sz="8" w:space="0" w:color="auto"/>
            </w:tcBorders>
            <w:vAlign w:val="center"/>
          </w:tcPr>
          <w:p w14:paraId="5C64A063" w14:textId="77777777" w:rsidR="00E15C0D" w:rsidRPr="00512BE3" w:rsidRDefault="00E15C0D" w:rsidP="00E15C0D">
            <w:pPr>
              <w:jc w:val="center"/>
              <w:rPr>
                <w:sz w:val="20"/>
                <w:szCs w:val="20"/>
                <w:lang w:val="bs-Latn-BA" w:eastAsia="bs-Latn-BA"/>
              </w:rPr>
            </w:pPr>
            <w:r w:rsidRPr="00512BE3">
              <w:rPr>
                <w:sz w:val="20"/>
                <w:szCs w:val="20"/>
                <w:lang w:val="bs-Latn-BA" w:eastAsia="bs-Latn-BA"/>
              </w:rPr>
              <w:t>-77,97%</w:t>
            </w:r>
          </w:p>
        </w:tc>
      </w:tr>
      <w:tr w:rsidR="002A7378" w:rsidRPr="00512BE3" w14:paraId="6237C36C" w14:textId="77777777" w:rsidTr="002A7378">
        <w:trPr>
          <w:trHeight w:val="383"/>
          <w:jc w:val="center"/>
        </w:trPr>
        <w:tc>
          <w:tcPr>
            <w:tcW w:w="2259" w:type="dxa"/>
            <w:tcBorders>
              <w:top w:val="nil"/>
              <w:left w:val="single" w:sz="8" w:space="0" w:color="auto"/>
              <w:bottom w:val="single" w:sz="8" w:space="0" w:color="auto"/>
              <w:right w:val="single" w:sz="8" w:space="0" w:color="auto"/>
            </w:tcBorders>
            <w:shd w:val="clear" w:color="auto" w:fill="auto"/>
            <w:vAlign w:val="center"/>
            <w:hideMark/>
          </w:tcPr>
          <w:p w14:paraId="498EB2E2" w14:textId="77777777" w:rsidR="00E15C0D" w:rsidRPr="00512BE3" w:rsidRDefault="00E15C0D" w:rsidP="006F31E6">
            <w:pPr>
              <w:rPr>
                <w:b/>
                <w:sz w:val="20"/>
                <w:szCs w:val="20"/>
                <w:lang w:val="bs-Latn-BA" w:eastAsia="bs-Latn-BA"/>
              </w:rPr>
            </w:pPr>
            <w:r w:rsidRPr="00512BE3">
              <w:rPr>
                <w:b/>
                <w:sz w:val="20"/>
                <w:szCs w:val="20"/>
                <w:lang w:val="bs-Latn-BA" w:eastAsia="bs-Latn-BA"/>
              </w:rPr>
              <w:t xml:space="preserve">rezani duhan </w:t>
            </w:r>
          </w:p>
          <w:p w14:paraId="02715282" w14:textId="77777777" w:rsidR="00E15C0D" w:rsidRPr="00512BE3" w:rsidRDefault="00E15C0D" w:rsidP="006F31E6">
            <w:pPr>
              <w:rPr>
                <w:b/>
                <w:sz w:val="20"/>
                <w:szCs w:val="20"/>
                <w:lang w:val="bs-Latn-BA" w:eastAsia="bs-Latn-BA"/>
              </w:rPr>
            </w:pPr>
            <w:r w:rsidRPr="00512BE3">
              <w:rPr>
                <w:b/>
                <w:sz w:val="20"/>
                <w:szCs w:val="20"/>
                <w:lang w:val="bs-Latn-BA" w:eastAsia="bs-Latn-BA"/>
              </w:rPr>
              <w:t>(kg)</w:t>
            </w:r>
          </w:p>
        </w:tc>
        <w:tc>
          <w:tcPr>
            <w:tcW w:w="1164" w:type="dxa"/>
            <w:tcBorders>
              <w:top w:val="nil"/>
              <w:left w:val="nil"/>
              <w:bottom w:val="single" w:sz="8" w:space="0" w:color="auto"/>
              <w:right w:val="single" w:sz="8" w:space="0" w:color="auto"/>
            </w:tcBorders>
            <w:shd w:val="clear" w:color="auto" w:fill="auto"/>
            <w:vAlign w:val="center"/>
            <w:hideMark/>
          </w:tcPr>
          <w:p w14:paraId="507706DD" w14:textId="77777777" w:rsidR="00E15C0D" w:rsidRPr="00512BE3" w:rsidRDefault="00E15C0D" w:rsidP="00E15C0D">
            <w:pPr>
              <w:jc w:val="center"/>
              <w:rPr>
                <w:sz w:val="20"/>
                <w:szCs w:val="20"/>
                <w:lang w:val="bs-Latn-BA" w:eastAsia="bs-Latn-BA"/>
              </w:rPr>
            </w:pPr>
            <w:r w:rsidRPr="00512BE3">
              <w:rPr>
                <w:sz w:val="20"/>
                <w:szCs w:val="20"/>
                <w:lang w:val="bs-Latn-BA" w:eastAsia="bs-Latn-BA"/>
              </w:rPr>
              <w:t>6.810,88</w:t>
            </w:r>
          </w:p>
        </w:tc>
        <w:tc>
          <w:tcPr>
            <w:tcW w:w="1371" w:type="dxa"/>
            <w:tcBorders>
              <w:top w:val="nil"/>
              <w:left w:val="nil"/>
              <w:bottom w:val="single" w:sz="8" w:space="0" w:color="auto"/>
              <w:right w:val="single" w:sz="8" w:space="0" w:color="auto"/>
            </w:tcBorders>
            <w:shd w:val="clear" w:color="auto" w:fill="auto"/>
            <w:noWrap/>
            <w:vAlign w:val="center"/>
            <w:hideMark/>
          </w:tcPr>
          <w:p w14:paraId="014F2AA0" w14:textId="77777777" w:rsidR="00E15C0D" w:rsidRPr="00512BE3" w:rsidRDefault="00E15C0D" w:rsidP="00E15C0D">
            <w:pPr>
              <w:jc w:val="right"/>
              <w:rPr>
                <w:sz w:val="20"/>
                <w:szCs w:val="20"/>
                <w:lang w:val="bs-Latn-BA" w:eastAsia="bs-Latn-BA"/>
              </w:rPr>
            </w:pPr>
            <w:r w:rsidRPr="00512BE3">
              <w:rPr>
                <w:sz w:val="20"/>
                <w:szCs w:val="20"/>
                <w:lang w:val="bs-Latn-BA" w:eastAsia="bs-Latn-BA"/>
              </w:rPr>
              <w:t>1.143.026</w:t>
            </w:r>
          </w:p>
        </w:tc>
        <w:tc>
          <w:tcPr>
            <w:tcW w:w="1233" w:type="dxa"/>
            <w:tcBorders>
              <w:top w:val="nil"/>
              <w:left w:val="nil"/>
              <w:bottom w:val="single" w:sz="8" w:space="0" w:color="auto"/>
              <w:right w:val="single" w:sz="8" w:space="0" w:color="auto"/>
            </w:tcBorders>
            <w:shd w:val="clear" w:color="auto" w:fill="auto"/>
            <w:vAlign w:val="center"/>
          </w:tcPr>
          <w:p w14:paraId="5522FA8A" w14:textId="77777777" w:rsidR="00E15C0D" w:rsidRPr="00512BE3" w:rsidRDefault="00E15C0D" w:rsidP="00E15C0D">
            <w:pPr>
              <w:jc w:val="center"/>
              <w:rPr>
                <w:sz w:val="20"/>
                <w:szCs w:val="20"/>
                <w:lang w:val="bs-Latn-BA" w:eastAsia="bs-Latn-BA"/>
              </w:rPr>
            </w:pPr>
            <w:r w:rsidRPr="00512BE3">
              <w:rPr>
                <w:sz w:val="20"/>
                <w:szCs w:val="20"/>
                <w:lang w:val="bs-Latn-BA" w:eastAsia="bs-Latn-BA"/>
              </w:rPr>
              <w:t xml:space="preserve">3.648,5 </w:t>
            </w:r>
          </w:p>
        </w:tc>
        <w:tc>
          <w:tcPr>
            <w:tcW w:w="1506" w:type="dxa"/>
            <w:tcBorders>
              <w:top w:val="nil"/>
              <w:left w:val="nil"/>
              <w:bottom w:val="single" w:sz="8" w:space="0" w:color="auto"/>
              <w:right w:val="single" w:sz="8" w:space="0" w:color="auto"/>
            </w:tcBorders>
            <w:shd w:val="clear" w:color="auto" w:fill="auto"/>
            <w:vAlign w:val="center"/>
          </w:tcPr>
          <w:p w14:paraId="39F265BD" w14:textId="77777777" w:rsidR="00E15C0D" w:rsidRPr="00512BE3" w:rsidRDefault="00E15C0D" w:rsidP="00E15C0D">
            <w:pPr>
              <w:jc w:val="right"/>
              <w:rPr>
                <w:sz w:val="20"/>
                <w:szCs w:val="20"/>
                <w:lang w:val="bs-Latn-BA" w:eastAsia="bs-Latn-BA"/>
              </w:rPr>
            </w:pPr>
            <w:r w:rsidRPr="00512BE3">
              <w:rPr>
                <w:sz w:val="20"/>
                <w:szCs w:val="20"/>
                <w:lang w:val="bs-Latn-BA" w:eastAsia="bs-Latn-BA"/>
              </w:rPr>
              <w:t>685.223</w:t>
            </w:r>
          </w:p>
        </w:tc>
        <w:tc>
          <w:tcPr>
            <w:tcW w:w="1505" w:type="dxa"/>
            <w:tcBorders>
              <w:top w:val="nil"/>
              <w:left w:val="nil"/>
              <w:bottom w:val="single" w:sz="8" w:space="0" w:color="auto"/>
              <w:right w:val="single" w:sz="8" w:space="0" w:color="auto"/>
            </w:tcBorders>
            <w:vAlign w:val="center"/>
          </w:tcPr>
          <w:p w14:paraId="2335CE4A" w14:textId="77777777" w:rsidR="00E15C0D" w:rsidRPr="00512BE3" w:rsidRDefault="00E15C0D" w:rsidP="00E15C0D">
            <w:pPr>
              <w:jc w:val="center"/>
              <w:rPr>
                <w:sz w:val="20"/>
                <w:szCs w:val="20"/>
                <w:lang w:val="bs-Latn-BA" w:eastAsia="bs-Latn-BA"/>
              </w:rPr>
            </w:pPr>
            <w:r w:rsidRPr="00512BE3">
              <w:rPr>
                <w:sz w:val="20"/>
                <w:szCs w:val="20"/>
                <w:lang w:val="bs-Latn-BA" w:eastAsia="bs-Latn-BA"/>
              </w:rPr>
              <w:t>-40,05</w:t>
            </w:r>
          </w:p>
        </w:tc>
      </w:tr>
      <w:tr w:rsidR="002A7378" w:rsidRPr="00512BE3" w14:paraId="35A4D8F7" w14:textId="77777777" w:rsidTr="002A7378">
        <w:trPr>
          <w:trHeight w:val="443"/>
          <w:jc w:val="center"/>
        </w:trPr>
        <w:tc>
          <w:tcPr>
            <w:tcW w:w="2259" w:type="dxa"/>
            <w:tcBorders>
              <w:top w:val="nil"/>
              <w:left w:val="single" w:sz="8" w:space="0" w:color="auto"/>
              <w:bottom w:val="single" w:sz="8" w:space="0" w:color="auto"/>
              <w:right w:val="single" w:sz="8" w:space="0" w:color="auto"/>
            </w:tcBorders>
            <w:shd w:val="clear" w:color="auto" w:fill="auto"/>
            <w:vAlign w:val="center"/>
            <w:hideMark/>
          </w:tcPr>
          <w:p w14:paraId="1050FE93" w14:textId="77777777" w:rsidR="00E15C0D" w:rsidRPr="00512BE3" w:rsidRDefault="00E15C0D" w:rsidP="006F31E6">
            <w:pPr>
              <w:rPr>
                <w:b/>
                <w:sz w:val="20"/>
                <w:szCs w:val="20"/>
                <w:lang w:val="bs-Latn-BA" w:eastAsia="bs-Latn-BA"/>
              </w:rPr>
            </w:pPr>
            <w:r w:rsidRPr="00512BE3">
              <w:rPr>
                <w:b/>
                <w:sz w:val="20"/>
                <w:szCs w:val="20"/>
                <w:lang w:val="bs-Latn-BA" w:eastAsia="bs-Latn-BA"/>
              </w:rPr>
              <w:t>ručno punjene cigarete (komad)</w:t>
            </w:r>
          </w:p>
        </w:tc>
        <w:tc>
          <w:tcPr>
            <w:tcW w:w="1164" w:type="dxa"/>
            <w:tcBorders>
              <w:top w:val="nil"/>
              <w:left w:val="nil"/>
              <w:bottom w:val="single" w:sz="8" w:space="0" w:color="auto"/>
              <w:right w:val="single" w:sz="8" w:space="0" w:color="auto"/>
            </w:tcBorders>
            <w:shd w:val="clear" w:color="auto" w:fill="auto"/>
            <w:vAlign w:val="center"/>
            <w:hideMark/>
          </w:tcPr>
          <w:p w14:paraId="0E42F5F1" w14:textId="77777777" w:rsidR="00E15C0D" w:rsidRPr="00512BE3" w:rsidRDefault="00E15C0D" w:rsidP="00E15C0D">
            <w:pPr>
              <w:jc w:val="center"/>
              <w:rPr>
                <w:sz w:val="20"/>
                <w:szCs w:val="20"/>
                <w:lang w:val="bs-Latn-BA" w:eastAsia="bs-Latn-BA"/>
              </w:rPr>
            </w:pPr>
            <w:r w:rsidRPr="00512BE3">
              <w:rPr>
                <w:sz w:val="20"/>
                <w:szCs w:val="20"/>
                <w:lang w:val="bs-Latn-BA" w:eastAsia="bs-Latn-BA"/>
              </w:rPr>
              <w:t>297.658</w:t>
            </w:r>
          </w:p>
        </w:tc>
        <w:tc>
          <w:tcPr>
            <w:tcW w:w="1371" w:type="dxa"/>
            <w:tcBorders>
              <w:top w:val="nil"/>
              <w:left w:val="nil"/>
              <w:bottom w:val="single" w:sz="8" w:space="0" w:color="auto"/>
              <w:right w:val="single" w:sz="8" w:space="0" w:color="auto"/>
            </w:tcBorders>
            <w:shd w:val="clear" w:color="auto" w:fill="auto"/>
            <w:noWrap/>
            <w:vAlign w:val="center"/>
            <w:hideMark/>
          </w:tcPr>
          <w:p w14:paraId="39E1DC4B" w14:textId="77777777" w:rsidR="00E15C0D" w:rsidRPr="00512BE3" w:rsidRDefault="00E15C0D" w:rsidP="00E15C0D">
            <w:pPr>
              <w:jc w:val="right"/>
              <w:rPr>
                <w:sz w:val="20"/>
                <w:szCs w:val="20"/>
                <w:lang w:val="bs-Latn-BA" w:eastAsia="bs-Latn-BA"/>
              </w:rPr>
            </w:pPr>
            <w:r w:rsidRPr="00512BE3">
              <w:rPr>
                <w:sz w:val="20"/>
                <w:szCs w:val="20"/>
                <w:lang w:val="bs-Latn-BA" w:eastAsia="bs-Latn-BA"/>
              </w:rPr>
              <w:t>82.872</w:t>
            </w:r>
          </w:p>
        </w:tc>
        <w:tc>
          <w:tcPr>
            <w:tcW w:w="1233" w:type="dxa"/>
            <w:tcBorders>
              <w:top w:val="nil"/>
              <w:left w:val="nil"/>
              <w:bottom w:val="single" w:sz="8" w:space="0" w:color="auto"/>
              <w:right w:val="single" w:sz="8" w:space="0" w:color="auto"/>
            </w:tcBorders>
            <w:shd w:val="clear" w:color="auto" w:fill="auto"/>
            <w:vAlign w:val="center"/>
          </w:tcPr>
          <w:p w14:paraId="28CCF680" w14:textId="77777777" w:rsidR="00E15C0D" w:rsidRPr="00512BE3" w:rsidRDefault="00E15C0D" w:rsidP="00E15C0D">
            <w:pPr>
              <w:jc w:val="center"/>
              <w:rPr>
                <w:sz w:val="20"/>
                <w:szCs w:val="20"/>
                <w:lang w:val="bs-Latn-BA" w:eastAsia="bs-Latn-BA"/>
              </w:rPr>
            </w:pPr>
            <w:r w:rsidRPr="00512BE3">
              <w:rPr>
                <w:sz w:val="20"/>
                <w:szCs w:val="20"/>
                <w:lang w:val="bs-Latn-BA" w:eastAsia="bs-Latn-BA"/>
              </w:rPr>
              <w:t xml:space="preserve">307.227 </w:t>
            </w:r>
          </w:p>
        </w:tc>
        <w:tc>
          <w:tcPr>
            <w:tcW w:w="1506" w:type="dxa"/>
            <w:tcBorders>
              <w:top w:val="nil"/>
              <w:left w:val="nil"/>
              <w:bottom w:val="single" w:sz="8" w:space="0" w:color="auto"/>
              <w:right w:val="single" w:sz="8" w:space="0" w:color="auto"/>
            </w:tcBorders>
            <w:shd w:val="clear" w:color="auto" w:fill="auto"/>
            <w:vAlign w:val="center"/>
          </w:tcPr>
          <w:p w14:paraId="5A194A64" w14:textId="77777777" w:rsidR="00E15C0D" w:rsidRPr="00512BE3" w:rsidRDefault="00E15C0D" w:rsidP="00E15C0D">
            <w:pPr>
              <w:jc w:val="right"/>
              <w:rPr>
                <w:sz w:val="20"/>
                <w:szCs w:val="20"/>
                <w:lang w:val="bs-Latn-BA" w:eastAsia="bs-Latn-BA"/>
              </w:rPr>
            </w:pPr>
            <w:r w:rsidRPr="00512BE3">
              <w:rPr>
                <w:sz w:val="20"/>
                <w:szCs w:val="20"/>
                <w:lang w:val="bs-Latn-BA" w:eastAsia="bs-Latn-BA"/>
              </w:rPr>
              <w:t>88.653</w:t>
            </w:r>
          </w:p>
        </w:tc>
        <w:tc>
          <w:tcPr>
            <w:tcW w:w="1505" w:type="dxa"/>
            <w:tcBorders>
              <w:top w:val="nil"/>
              <w:left w:val="nil"/>
              <w:bottom w:val="single" w:sz="8" w:space="0" w:color="auto"/>
              <w:right w:val="single" w:sz="8" w:space="0" w:color="auto"/>
            </w:tcBorders>
            <w:vAlign w:val="center"/>
          </w:tcPr>
          <w:p w14:paraId="1747B985" w14:textId="77777777" w:rsidR="00E15C0D" w:rsidRPr="00512BE3" w:rsidRDefault="00E15C0D" w:rsidP="00E15C0D">
            <w:pPr>
              <w:jc w:val="center"/>
              <w:rPr>
                <w:sz w:val="20"/>
                <w:szCs w:val="20"/>
                <w:lang w:val="bs-Latn-BA" w:eastAsia="bs-Latn-BA"/>
              </w:rPr>
            </w:pPr>
            <w:r w:rsidRPr="00512BE3">
              <w:rPr>
                <w:sz w:val="20"/>
                <w:szCs w:val="20"/>
                <w:lang w:val="bs-Latn-BA" w:eastAsia="bs-Latn-BA"/>
              </w:rPr>
              <w:t>6,96%</w:t>
            </w:r>
          </w:p>
        </w:tc>
      </w:tr>
      <w:tr w:rsidR="002A7378" w:rsidRPr="00512BE3" w14:paraId="080507D5" w14:textId="77777777" w:rsidTr="002A7378">
        <w:trPr>
          <w:trHeight w:val="379"/>
          <w:jc w:val="center"/>
        </w:trPr>
        <w:tc>
          <w:tcPr>
            <w:tcW w:w="2259" w:type="dxa"/>
            <w:tcBorders>
              <w:top w:val="nil"/>
              <w:left w:val="single" w:sz="8" w:space="0" w:color="auto"/>
              <w:bottom w:val="single" w:sz="8" w:space="0" w:color="auto"/>
              <w:right w:val="single" w:sz="8" w:space="0" w:color="auto"/>
            </w:tcBorders>
            <w:shd w:val="clear" w:color="auto" w:fill="auto"/>
            <w:vAlign w:val="center"/>
          </w:tcPr>
          <w:p w14:paraId="102457AC" w14:textId="77777777" w:rsidR="00E15C0D" w:rsidRPr="00512BE3" w:rsidRDefault="00E15C0D" w:rsidP="006F31E6">
            <w:pPr>
              <w:rPr>
                <w:b/>
                <w:sz w:val="20"/>
                <w:szCs w:val="20"/>
                <w:lang w:val="bs-Latn-BA" w:eastAsia="bs-Latn-BA"/>
              </w:rPr>
            </w:pPr>
            <w:r w:rsidRPr="00512BE3">
              <w:rPr>
                <w:b/>
                <w:sz w:val="20"/>
                <w:szCs w:val="20"/>
                <w:lang w:val="bs-Latn-BA" w:eastAsia="bs-Latn-BA"/>
              </w:rPr>
              <w:t>aroma za nargilu – akcizni proizvod (kg)</w:t>
            </w:r>
          </w:p>
        </w:tc>
        <w:tc>
          <w:tcPr>
            <w:tcW w:w="1164" w:type="dxa"/>
            <w:tcBorders>
              <w:top w:val="nil"/>
              <w:left w:val="nil"/>
              <w:bottom w:val="single" w:sz="8" w:space="0" w:color="auto"/>
              <w:right w:val="single" w:sz="8" w:space="0" w:color="auto"/>
            </w:tcBorders>
            <w:shd w:val="clear" w:color="auto" w:fill="auto"/>
            <w:vAlign w:val="center"/>
          </w:tcPr>
          <w:p w14:paraId="5D441017" w14:textId="77777777" w:rsidR="00E15C0D" w:rsidRPr="00512BE3" w:rsidRDefault="00E15C0D" w:rsidP="00E15C0D">
            <w:pPr>
              <w:jc w:val="center"/>
              <w:rPr>
                <w:sz w:val="20"/>
                <w:szCs w:val="20"/>
                <w:lang w:val="bs-Latn-BA" w:eastAsia="bs-Latn-BA"/>
              </w:rPr>
            </w:pPr>
            <w:r w:rsidRPr="00512BE3">
              <w:rPr>
                <w:sz w:val="20"/>
                <w:szCs w:val="20"/>
                <w:lang w:val="bs-Latn-BA" w:eastAsia="bs-Latn-BA"/>
              </w:rPr>
              <w:t>485,09</w:t>
            </w:r>
          </w:p>
        </w:tc>
        <w:tc>
          <w:tcPr>
            <w:tcW w:w="1371" w:type="dxa"/>
            <w:tcBorders>
              <w:top w:val="nil"/>
              <w:left w:val="nil"/>
              <w:bottom w:val="single" w:sz="8" w:space="0" w:color="auto"/>
              <w:right w:val="single" w:sz="8" w:space="0" w:color="auto"/>
            </w:tcBorders>
            <w:shd w:val="clear" w:color="auto" w:fill="auto"/>
            <w:noWrap/>
            <w:vAlign w:val="center"/>
          </w:tcPr>
          <w:p w14:paraId="172A1B73" w14:textId="77777777" w:rsidR="00E15C0D" w:rsidRPr="00512BE3" w:rsidRDefault="00E15C0D" w:rsidP="00E15C0D">
            <w:pPr>
              <w:jc w:val="right"/>
              <w:rPr>
                <w:sz w:val="20"/>
                <w:szCs w:val="20"/>
                <w:lang w:val="bs-Latn-BA" w:eastAsia="bs-Latn-BA"/>
              </w:rPr>
            </w:pPr>
            <w:r w:rsidRPr="00512BE3">
              <w:rPr>
                <w:sz w:val="20"/>
                <w:szCs w:val="20"/>
                <w:lang w:val="bs-Latn-BA" w:eastAsia="bs-Latn-BA"/>
              </w:rPr>
              <w:t>114.879</w:t>
            </w:r>
          </w:p>
        </w:tc>
        <w:tc>
          <w:tcPr>
            <w:tcW w:w="1233" w:type="dxa"/>
            <w:tcBorders>
              <w:top w:val="nil"/>
              <w:left w:val="nil"/>
              <w:bottom w:val="single" w:sz="8" w:space="0" w:color="auto"/>
              <w:right w:val="single" w:sz="8" w:space="0" w:color="auto"/>
            </w:tcBorders>
            <w:shd w:val="clear" w:color="auto" w:fill="auto"/>
            <w:vAlign w:val="center"/>
          </w:tcPr>
          <w:p w14:paraId="456BBD21" w14:textId="77777777" w:rsidR="00E15C0D" w:rsidRPr="00512BE3" w:rsidRDefault="00E15C0D" w:rsidP="00E15C0D">
            <w:pPr>
              <w:jc w:val="center"/>
              <w:rPr>
                <w:sz w:val="20"/>
                <w:szCs w:val="20"/>
                <w:lang w:val="bs-Latn-BA" w:eastAsia="bs-Latn-BA"/>
              </w:rPr>
            </w:pPr>
            <w:r w:rsidRPr="00512BE3">
              <w:rPr>
                <w:sz w:val="20"/>
                <w:szCs w:val="20"/>
                <w:lang w:val="bs-Latn-BA" w:eastAsia="bs-Latn-BA"/>
              </w:rPr>
              <w:t xml:space="preserve">577,77 </w:t>
            </w:r>
          </w:p>
        </w:tc>
        <w:tc>
          <w:tcPr>
            <w:tcW w:w="1506" w:type="dxa"/>
            <w:tcBorders>
              <w:top w:val="nil"/>
              <w:left w:val="nil"/>
              <w:bottom w:val="single" w:sz="8" w:space="0" w:color="auto"/>
              <w:right w:val="single" w:sz="8" w:space="0" w:color="auto"/>
            </w:tcBorders>
            <w:shd w:val="clear" w:color="auto" w:fill="auto"/>
            <w:vAlign w:val="center"/>
          </w:tcPr>
          <w:p w14:paraId="51437739" w14:textId="77777777" w:rsidR="00E15C0D" w:rsidRPr="00512BE3" w:rsidRDefault="00E15C0D" w:rsidP="00E15C0D">
            <w:pPr>
              <w:jc w:val="right"/>
              <w:rPr>
                <w:sz w:val="20"/>
                <w:szCs w:val="20"/>
                <w:lang w:val="bs-Latn-BA" w:eastAsia="bs-Latn-BA"/>
              </w:rPr>
            </w:pPr>
            <w:r w:rsidRPr="00512BE3">
              <w:rPr>
                <w:sz w:val="20"/>
                <w:szCs w:val="20"/>
                <w:lang w:val="bs-Latn-BA" w:eastAsia="bs-Latn-BA"/>
              </w:rPr>
              <w:t>134.243</w:t>
            </w:r>
          </w:p>
        </w:tc>
        <w:tc>
          <w:tcPr>
            <w:tcW w:w="1505" w:type="dxa"/>
            <w:tcBorders>
              <w:top w:val="nil"/>
              <w:left w:val="nil"/>
              <w:bottom w:val="single" w:sz="8" w:space="0" w:color="auto"/>
              <w:right w:val="single" w:sz="8" w:space="0" w:color="auto"/>
            </w:tcBorders>
            <w:vAlign w:val="center"/>
          </w:tcPr>
          <w:p w14:paraId="2441B68D" w14:textId="77777777" w:rsidR="00E15C0D" w:rsidRPr="00512BE3" w:rsidRDefault="00E15C0D" w:rsidP="00E15C0D">
            <w:pPr>
              <w:jc w:val="center"/>
              <w:rPr>
                <w:sz w:val="20"/>
                <w:szCs w:val="20"/>
                <w:lang w:val="bs-Latn-BA" w:eastAsia="bs-Latn-BA"/>
              </w:rPr>
            </w:pPr>
            <w:r w:rsidRPr="00512BE3">
              <w:rPr>
                <w:sz w:val="20"/>
                <w:szCs w:val="20"/>
                <w:lang w:val="bs-Latn-BA" w:eastAsia="bs-Latn-BA"/>
              </w:rPr>
              <w:t>16,86%</w:t>
            </w:r>
          </w:p>
        </w:tc>
      </w:tr>
      <w:tr w:rsidR="002A7378" w:rsidRPr="00512BE3" w14:paraId="2B4B192B" w14:textId="77777777" w:rsidTr="002A7378">
        <w:trPr>
          <w:trHeight w:val="471"/>
          <w:jc w:val="center"/>
        </w:trPr>
        <w:tc>
          <w:tcPr>
            <w:tcW w:w="2259" w:type="dxa"/>
            <w:tcBorders>
              <w:top w:val="nil"/>
              <w:left w:val="single" w:sz="8" w:space="0" w:color="auto"/>
              <w:bottom w:val="single" w:sz="8" w:space="0" w:color="auto"/>
              <w:right w:val="single" w:sz="8" w:space="0" w:color="auto"/>
            </w:tcBorders>
            <w:shd w:val="clear" w:color="auto" w:fill="auto"/>
            <w:vAlign w:val="center"/>
          </w:tcPr>
          <w:p w14:paraId="440A2A3B" w14:textId="77777777" w:rsidR="00E15C0D" w:rsidRPr="00512BE3" w:rsidRDefault="00E15C0D" w:rsidP="006F31E6">
            <w:pPr>
              <w:rPr>
                <w:b/>
                <w:sz w:val="20"/>
                <w:szCs w:val="20"/>
                <w:lang w:val="bs-Latn-BA" w:eastAsia="bs-Latn-BA"/>
              </w:rPr>
            </w:pPr>
            <w:r w:rsidRPr="00512BE3">
              <w:rPr>
                <w:b/>
                <w:sz w:val="20"/>
                <w:szCs w:val="20"/>
                <w:lang w:val="bs-Latn-BA" w:eastAsia="bs-Latn-BA"/>
              </w:rPr>
              <w:t>duhan u listu (kg)</w:t>
            </w:r>
          </w:p>
        </w:tc>
        <w:tc>
          <w:tcPr>
            <w:tcW w:w="1164" w:type="dxa"/>
            <w:tcBorders>
              <w:top w:val="nil"/>
              <w:left w:val="nil"/>
              <w:bottom w:val="single" w:sz="8" w:space="0" w:color="auto"/>
              <w:right w:val="single" w:sz="8" w:space="0" w:color="auto"/>
            </w:tcBorders>
            <w:shd w:val="clear" w:color="auto" w:fill="auto"/>
            <w:vAlign w:val="center"/>
          </w:tcPr>
          <w:p w14:paraId="5502E795" w14:textId="77777777" w:rsidR="00E15C0D" w:rsidRPr="00512BE3" w:rsidRDefault="00E15C0D" w:rsidP="00E15C0D">
            <w:pPr>
              <w:jc w:val="center"/>
              <w:rPr>
                <w:sz w:val="20"/>
                <w:szCs w:val="20"/>
                <w:lang w:val="bs-Latn-BA" w:eastAsia="bs-Latn-BA"/>
              </w:rPr>
            </w:pPr>
            <w:r w:rsidRPr="00512BE3">
              <w:rPr>
                <w:sz w:val="20"/>
                <w:szCs w:val="20"/>
                <w:lang w:val="bs-Latn-BA" w:eastAsia="bs-Latn-BA"/>
              </w:rPr>
              <w:t>2.615</w:t>
            </w:r>
          </w:p>
        </w:tc>
        <w:tc>
          <w:tcPr>
            <w:tcW w:w="1371" w:type="dxa"/>
            <w:tcBorders>
              <w:top w:val="nil"/>
              <w:left w:val="nil"/>
              <w:bottom w:val="single" w:sz="8" w:space="0" w:color="auto"/>
              <w:right w:val="single" w:sz="8" w:space="0" w:color="auto"/>
            </w:tcBorders>
            <w:shd w:val="clear" w:color="auto" w:fill="auto"/>
            <w:noWrap/>
            <w:vAlign w:val="center"/>
          </w:tcPr>
          <w:p w14:paraId="6B7B2A46" w14:textId="77777777" w:rsidR="00E15C0D" w:rsidRPr="00512BE3" w:rsidRDefault="00E15C0D" w:rsidP="00E15C0D">
            <w:pPr>
              <w:jc w:val="right"/>
              <w:rPr>
                <w:sz w:val="20"/>
                <w:szCs w:val="20"/>
                <w:lang w:val="bs-Latn-BA" w:eastAsia="bs-Latn-BA"/>
              </w:rPr>
            </w:pPr>
            <w:r w:rsidRPr="00512BE3">
              <w:rPr>
                <w:sz w:val="20"/>
                <w:szCs w:val="20"/>
                <w:lang w:val="bs-Latn-BA" w:eastAsia="bs-Latn-BA"/>
              </w:rPr>
              <w:t>31.380</w:t>
            </w:r>
          </w:p>
        </w:tc>
        <w:tc>
          <w:tcPr>
            <w:tcW w:w="1233" w:type="dxa"/>
            <w:tcBorders>
              <w:top w:val="nil"/>
              <w:left w:val="nil"/>
              <w:bottom w:val="single" w:sz="8" w:space="0" w:color="auto"/>
              <w:right w:val="single" w:sz="8" w:space="0" w:color="auto"/>
            </w:tcBorders>
            <w:shd w:val="clear" w:color="auto" w:fill="auto"/>
            <w:vAlign w:val="center"/>
          </w:tcPr>
          <w:p w14:paraId="6F11B5E4" w14:textId="77777777" w:rsidR="00E15C0D" w:rsidRPr="00512BE3" w:rsidRDefault="00E15C0D" w:rsidP="00E15C0D">
            <w:pPr>
              <w:jc w:val="center"/>
              <w:rPr>
                <w:sz w:val="20"/>
                <w:szCs w:val="20"/>
                <w:lang w:val="bs-Latn-BA" w:eastAsia="bs-Latn-BA"/>
              </w:rPr>
            </w:pPr>
            <w:r w:rsidRPr="00512BE3">
              <w:rPr>
                <w:sz w:val="20"/>
                <w:szCs w:val="20"/>
                <w:lang w:val="bs-Latn-BA" w:eastAsia="bs-Latn-BA"/>
              </w:rPr>
              <w:t xml:space="preserve">615 </w:t>
            </w:r>
          </w:p>
        </w:tc>
        <w:tc>
          <w:tcPr>
            <w:tcW w:w="1506" w:type="dxa"/>
            <w:tcBorders>
              <w:top w:val="nil"/>
              <w:left w:val="nil"/>
              <w:bottom w:val="single" w:sz="8" w:space="0" w:color="auto"/>
              <w:right w:val="single" w:sz="8" w:space="0" w:color="auto"/>
            </w:tcBorders>
            <w:shd w:val="clear" w:color="auto" w:fill="auto"/>
            <w:vAlign w:val="center"/>
          </w:tcPr>
          <w:p w14:paraId="157BCC6A" w14:textId="77777777" w:rsidR="00E15C0D" w:rsidRPr="00512BE3" w:rsidRDefault="00E15C0D" w:rsidP="00E15C0D">
            <w:pPr>
              <w:jc w:val="right"/>
              <w:rPr>
                <w:sz w:val="20"/>
                <w:szCs w:val="20"/>
                <w:lang w:val="bs-Latn-BA" w:eastAsia="bs-Latn-BA"/>
              </w:rPr>
            </w:pPr>
            <w:r w:rsidRPr="00512BE3">
              <w:rPr>
                <w:sz w:val="20"/>
                <w:szCs w:val="20"/>
                <w:lang w:val="bs-Latn-BA" w:eastAsia="bs-Latn-BA"/>
              </w:rPr>
              <w:t>12.300</w:t>
            </w:r>
          </w:p>
        </w:tc>
        <w:tc>
          <w:tcPr>
            <w:tcW w:w="1505" w:type="dxa"/>
            <w:tcBorders>
              <w:top w:val="nil"/>
              <w:left w:val="nil"/>
              <w:bottom w:val="single" w:sz="8" w:space="0" w:color="auto"/>
              <w:right w:val="single" w:sz="8" w:space="0" w:color="auto"/>
            </w:tcBorders>
            <w:vAlign w:val="center"/>
          </w:tcPr>
          <w:p w14:paraId="495DB73A" w14:textId="77777777" w:rsidR="00E15C0D" w:rsidRPr="00512BE3" w:rsidRDefault="00E15C0D" w:rsidP="00E15C0D">
            <w:pPr>
              <w:jc w:val="center"/>
              <w:rPr>
                <w:sz w:val="20"/>
                <w:szCs w:val="20"/>
                <w:lang w:val="bs-Latn-BA" w:eastAsia="bs-Latn-BA"/>
              </w:rPr>
            </w:pPr>
            <w:r w:rsidRPr="00512BE3">
              <w:rPr>
                <w:sz w:val="20"/>
                <w:szCs w:val="20"/>
                <w:lang w:val="bs-Latn-BA" w:eastAsia="bs-Latn-BA"/>
              </w:rPr>
              <w:t>-60,80%</w:t>
            </w:r>
          </w:p>
        </w:tc>
      </w:tr>
      <w:tr w:rsidR="002A7378" w:rsidRPr="00512BE3" w14:paraId="3B68D87F" w14:textId="77777777" w:rsidTr="002A7378">
        <w:trPr>
          <w:trHeight w:val="278"/>
          <w:jc w:val="center"/>
        </w:trPr>
        <w:tc>
          <w:tcPr>
            <w:tcW w:w="2259" w:type="dxa"/>
            <w:tcBorders>
              <w:top w:val="nil"/>
              <w:left w:val="single" w:sz="8" w:space="0" w:color="auto"/>
              <w:bottom w:val="single" w:sz="8" w:space="0" w:color="auto"/>
              <w:right w:val="single" w:sz="8" w:space="0" w:color="auto"/>
            </w:tcBorders>
            <w:shd w:val="clear" w:color="auto" w:fill="auto"/>
            <w:vAlign w:val="center"/>
          </w:tcPr>
          <w:p w14:paraId="7B114C14" w14:textId="77777777" w:rsidR="00E15C0D" w:rsidRPr="00512BE3" w:rsidRDefault="00E15C0D" w:rsidP="006F31E6">
            <w:pPr>
              <w:rPr>
                <w:b/>
                <w:sz w:val="20"/>
                <w:szCs w:val="20"/>
                <w:lang w:val="bs-Latn-BA" w:eastAsia="bs-Latn-BA"/>
              </w:rPr>
            </w:pPr>
            <w:r w:rsidRPr="00512BE3">
              <w:rPr>
                <w:b/>
                <w:sz w:val="20"/>
                <w:szCs w:val="20"/>
                <w:lang w:val="bs-Latn-BA" w:eastAsia="bs-Latn-BA"/>
              </w:rPr>
              <w:t xml:space="preserve">patrona za e - cigaretu </w:t>
            </w:r>
            <w:r w:rsidRPr="00512BE3">
              <w:rPr>
                <w:b/>
                <w:sz w:val="20"/>
                <w:szCs w:val="20"/>
                <w:lang w:val="bs-Latn-BA" w:eastAsia="bs-Latn-BA"/>
              </w:rPr>
              <w:br/>
              <w:t>(akcizni proizvod)</w:t>
            </w:r>
          </w:p>
        </w:tc>
        <w:tc>
          <w:tcPr>
            <w:tcW w:w="1164" w:type="dxa"/>
            <w:tcBorders>
              <w:top w:val="nil"/>
              <w:left w:val="nil"/>
              <w:bottom w:val="single" w:sz="8" w:space="0" w:color="auto"/>
              <w:right w:val="single" w:sz="8" w:space="0" w:color="auto"/>
            </w:tcBorders>
            <w:shd w:val="clear" w:color="auto" w:fill="auto"/>
            <w:vAlign w:val="center"/>
          </w:tcPr>
          <w:p w14:paraId="61A083B7" w14:textId="77777777" w:rsidR="00E15C0D" w:rsidRPr="00512BE3" w:rsidRDefault="00E15C0D" w:rsidP="00E15C0D">
            <w:pPr>
              <w:jc w:val="center"/>
              <w:rPr>
                <w:sz w:val="20"/>
                <w:szCs w:val="20"/>
                <w:lang w:val="bs-Latn-BA" w:eastAsia="bs-Latn-BA"/>
              </w:rPr>
            </w:pPr>
            <w:r w:rsidRPr="00512BE3">
              <w:rPr>
                <w:sz w:val="20"/>
                <w:szCs w:val="20"/>
                <w:lang w:val="bs-Latn-BA" w:eastAsia="bs-Latn-BA"/>
              </w:rPr>
              <w:t>-</w:t>
            </w:r>
          </w:p>
        </w:tc>
        <w:tc>
          <w:tcPr>
            <w:tcW w:w="1371" w:type="dxa"/>
            <w:tcBorders>
              <w:top w:val="nil"/>
              <w:left w:val="nil"/>
              <w:bottom w:val="single" w:sz="8" w:space="0" w:color="auto"/>
              <w:right w:val="single" w:sz="8" w:space="0" w:color="auto"/>
            </w:tcBorders>
            <w:shd w:val="clear" w:color="auto" w:fill="auto"/>
            <w:noWrap/>
            <w:vAlign w:val="center"/>
          </w:tcPr>
          <w:p w14:paraId="65E9E569" w14:textId="77777777" w:rsidR="00E15C0D" w:rsidRPr="00512BE3" w:rsidRDefault="00E15C0D" w:rsidP="00E15C0D">
            <w:pPr>
              <w:jc w:val="center"/>
              <w:rPr>
                <w:sz w:val="20"/>
                <w:szCs w:val="20"/>
                <w:lang w:val="bs-Latn-BA" w:eastAsia="bs-Latn-BA"/>
              </w:rPr>
            </w:pPr>
            <w:r w:rsidRPr="00512BE3">
              <w:rPr>
                <w:sz w:val="20"/>
                <w:szCs w:val="20"/>
                <w:lang w:val="bs-Latn-BA" w:eastAsia="bs-Latn-BA"/>
              </w:rPr>
              <w:t>-</w:t>
            </w:r>
          </w:p>
        </w:tc>
        <w:tc>
          <w:tcPr>
            <w:tcW w:w="1233" w:type="dxa"/>
            <w:tcBorders>
              <w:top w:val="nil"/>
              <w:left w:val="nil"/>
              <w:bottom w:val="single" w:sz="8" w:space="0" w:color="auto"/>
              <w:right w:val="single" w:sz="8" w:space="0" w:color="auto"/>
            </w:tcBorders>
            <w:shd w:val="clear" w:color="auto" w:fill="auto"/>
            <w:vAlign w:val="center"/>
          </w:tcPr>
          <w:p w14:paraId="5912D67E" w14:textId="77777777" w:rsidR="00E15C0D" w:rsidRPr="00512BE3" w:rsidRDefault="00E15C0D" w:rsidP="00E15C0D">
            <w:pPr>
              <w:jc w:val="center"/>
              <w:rPr>
                <w:sz w:val="20"/>
                <w:szCs w:val="20"/>
                <w:lang w:val="bs-Latn-BA" w:eastAsia="bs-Latn-BA"/>
              </w:rPr>
            </w:pPr>
            <w:r w:rsidRPr="00512BE3">
              <w:rPr>
                <w:sz w:val="20"/>
                <w:szCs w:val="20"/>
                <w:lang w:val="bs-Latn-BA" w:eastAsia="bs-Latn-BA"/>
              </w:rPr>
              <w:t xml:space="preserve">40 </w:t>
            </w:r>
          </w:p>
        </w:tc>
        <w:tc>
          <w:tcPr>
            <w:tcW w:w="1506" w:type="dxa"/>
            <w:tcBorders>
              <w:top w:val="nil"/>
              <w:left w:val="nil"/>
              <w:bottom w:val="single" w:sz="8" w:space="0" w:color="auto"/>
              <w:right w:val="single" w:sz="8" w:space="0" w:color="auto"/>
            </w:tcBorders>
            <w:shd w:val="clear" w:color="auto" w:fill="auto"/>
            <w:vAlign w:val="center"/>
          </w:tcPr>
          <w:p w14:paraId="42BB8873" w14:textId="77777777" w:rsidR="00E15C0D" w:rsidRPr="00512BE3" w:rsidRDefault="00E15C0D" w:rsidP="00E15C0D">
            <w:pPr>
              <w:jc w:val="right"/>
              <w:rPr>
                <w:sz w:val="20"/>
                <w:szCs w:val="20"/>
                <w:lang w:val="bs-Latn-BA" w:eastAsia="bs-Latn-BA"/>
              </w:rPr>
            </w:pPr>
            <w:r w:rsidRPr="00512BE3">
              <w:rPr>
                <w:sz w:val="20"/>
                <w:szCs w:val="20"/>
                <w:lang w:val="bs-Latn-BA" w:eastAsia="bs-Latn-BA"/>
              </w:rPr>
              <w:t>240</w:t>
            </w:r>
          </w:p>
        </w:tc>
        <w:tc>
          <w:tcPr>
            <w:tcW w:w="1505" w:type="dxa"/>
            <w:tcBorders>
              <w:top w:val="nil"/>
              <w:left w:val="nil"/>
              <w:bottom w:val="single" w:sz="8" w:space="0" w:color="auto"/>
              <w:right w:val="single" w:sz="8" w:space="0" w:color="auto"/>
            </w:tcBorders>
            <w:vAlign w:val="center"/>
          </w:tcPr>
          <w:p w14:paraId="2F6E741A" w14:textId="77777777" w:rsidR="00E15C0D" w:rsidRPr="00512BE3" w:rsidRDefault="00E15C0D" w:rsidP="00E15C0D">
            <w:pPr>
              <w:jc w:val="center"/>
              <w:rPr>
                <w:sz w:val="20"/>
                <w:szCs w:val="20"/>
                <w:lang w:val="bs-Latn-BA" w:eastAsia="bs-Latn-BA"/>
              </w:rPr>
            </w:pPr>
            <w:r w:rsidRPr="00512BE3">
              <w:rPr>
                <w:sz w:val="20"/>
                <w:szCs w:val="20"/>
                <w:lang w:val="bs-Latn-BA" w:eastAsia="bs-Latn-BA"/>
              </w:rPr>
              <w:t>-</w:t>
            </w:r>
          </w:p>
        </w:tc>
      </w:tr>
      <w:tr w:rsidR="002A7378" w:rsidRPr="00512BE3" w14:paraId="3462D436" w14:textId="77777777" w:rsidTr="002A7378">
        <w:trPr>
          <w:trHeight w:val="358"/>
          <w:jc w:val="center"/>
        </w:trPr>
        <w:tc>
          <w:tcPr>
            <w:tcW w:w="2259" w:type="dxa"/>
            <w:tcBorders>
              <w:top w:val="nil"/>
              <w:left w:val="single" w:sz="8" w:space="0" w:color="auto"/>
              <w:bottom w:val="single" w:sz="8" w:space="0" w:color="auto"/>
              <w:right w:val="single" w:sz="8" w:space="0" w:color="auto"/>
            </w:tcBorders>
            <w:shd w:val="clear" w:color="auto" w:fill="DBE5F1"/>
            <w:vAlign w:val="center"/>
          </w:tcPr>
          <w:p w14:paraId="40464BD1" w14:textId="77777777" w:rsidR="00E15C0D" w:rsidRPr="00512BE3" w:rsidRDefault="00E15C0D" w:rsidP="00E15C0D">
            <w:pPr>
              <w:rPr>
                <w:sz w:val="20"/>
                <w:szCs w:val="20"/>
                <w:lang w:val="bs-Latn-BA" w:eastAsia="bs-Latn-BA"/>
              </w:rPr>
            </w:pPr>
            <w:r w:rsidRPr="00512BE3">
              <w:rPr>
                <w:b/>
                <w:bCs/>
                <w:sz w:val="20"/>
                <w:szCs w:val="20"/>
                <w:lang w:val="bs-Latn-BA" w:eastAsia="bs-Latn-BA"/>
              </w:rPr>
              <w:t>UKUPNO:</w:t>
            </w:r>
          </w:p>
        </w:tc>
        <w:tc>
          <w:tcPr>
            <w:tcW w:w="1164" w:type="dxa"/>
            <w:tcBorders>
              <w:top w:val="nil"/>
              <w:left w:val="nil"/>
              <w:bottom w:val="single" w:sz="8" w:space="0" w:color="auto"/>
              <w:right w:val="single" w:sz="8" w:space="0" w:color="auto"/>
            </w:tcBorders>
            <w:shd w:val="clear" w:color="auto" w:fill="DBE5F1"/>
            <w:vAlign w:val="center"/>
          </w:tcPr>
          <w:p w14:paraId="63D755EF"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w:t>
            </w:r>
          </w:p>
        </w:tc>
        <w:tc>
          <w:tcPr>
            <w:tcW w:w="1371" w:type="dxa"/>
            <w:tcBorders>
              <w:top w:val="nil"/>
              <w:left w:val="nil"/>
              <w:bottom w:val="single" w:sz="8" w:space="0" w:color="auto"/>
              <w:right w:val="single" w:sz="8" w:space="0" w:color="auto"/>
            </w:tcBorders>
            <w:shd w:val="clear" w:color="auto" w:fill="DBE5F1"/>
            <w:noWrap/>
            <w:vAlign w:val="center"/>
          </w:tcPr>
          <w:p w14:paraId="570896D4" w14:textId="77777777" w:rsidR="00E15C0D" w:rsidRPr="00512BE3" w:rsidRDefault="00E15C0D" w:rsidP="00E15C0D">
            <w:pPr>
              <w:jc w:val="right"/>
              <w:rPr>
                <w:b/>
                <w:sz w:val="20"/>
                <w:szCs w:val="20"/>
                <w:lang w:val="bs-Latn-BA" w:eastAsia="bs-Latn-BA"/>
              </w:rPr>
            </w:pPr>
            <w:r w:rsidRPr="00512BE3">
              <w:rPr>
                <w:b/>
                <w:sz w:val="20"/>
                <w:szCs w:val="20"/>
                <w:lang w:val="bs-Latn-BA" w:eastAsia="bs-Latn-BA"/>
              </w:rPr>
              <w:t>5.303.412</w:t>
            </w:r>
          </w:p>
        </w:tc>
        <w:tc>
          <w:tcPr>
            <w:tcW w:w="1233" w:type="dxa"/>
            <w:tcBorders>
              <w:top w:val="nil"/>
              <w:left w:val="nil"/>
              <w:bottom w:val="single" w:sz="8" w:space="0" w:color="auto"/>
              <w:right w:val="single" w:sz="8" w:space="0" w:color="auto"/>
            </w:tcBorders>
            <w:shd w:val="clear" w:color="auto" w:fill="DBE5F1"/>
            <w:vAlign w:val="center"/>
          </w:tcPr>
          <w:p w14:paraId="7F8F1728" w14:textId="77777777" w:rsidR="00E15C0D" w:rsidRPr="00512BE3" w:rsidRDefault="00E15C0D" w:rsidP="00E15C0D">
            <w:pPr>
              <w:jc w:val="center"/>
              <w:rPr>
                <w:b/>
                <w:sz w:val="20"/>
                <w:szCs w:val="20"/>
                <w:lang w:val="bs-Latn-BA" w:eastAsia="bs-Latn-BA"/>
              </w:rPr>
            </w:pPr>
          </w:p>
        </w:tc>
        <w:tc>
          <w:tcPr>
            <w:tcW w:w="1506" w:type="dxa"/>
            <w:tcBorders>
              <w:top w:val="nil"/>
              <w:left w:val="nil"/>
              <w:bottom w:val="single" w:sz="8" w:space="0" w:color="auto"/>
              <w:right w:val="single" w:sz="8" w:space="0" w:color="auto"/>
            </w:tcBorders>
            <w:shd w:val="clear" w:color="auto" w:fill="DBE5F1"/>
            <w:vAlign w:val="center"/>
          </w:tcPr>
          <w:p w14:paraId="2F785910" w14:textId="77777777" w:rsidR="00E15C0D" w:rsidRPr="00512BE3" w:rsidRDefault="00E15C0D" w:rsidP="00E15C0D">
            <w:pPr>
              <w:jc w:val="right"/>
              <w:rPr>
                <w:b/>
                <w:sz w:val="20"/>
                <w:szCs w:val="20"/>
                <w:lang w:val="bs-Latn-BA" w:eastAsia="bs-Latn-BA"/>
              </w:rPr>
            </w:pPr>
            <w:r w:rsidRPr="00512BE3">
              <w:rPr>
                <w:b/>
                <w:sz w:val="20"/>
                <w:szCs w:val="20"/>
                <w:lang w:val="bs-Latn-BA" w:eastAsia="bs-Latn-BA"/>
              </w:rPr>
              <w:t>1.786.868</w:t>
            </w:r>
          </w:p>
        </w:tc>
        <w:tc>
          <w:tcPr>
            <w:tcW w:w="1505" w:type="dxa"/>
            <w:tcBorders>
              <w:top w:val="nil"/>
              <w:left w:val="nil"/>
              <w:bottom w:val="single" w:sz="8" w:space="0" w:color="auto"/>
              <w:right w:val="single" w:sz="8" w:space="0" w:color="auto"/>
            </w:tcBorders>
            <w:shd w:val="clear" w:color="auto" w:fill="DBE5F1"/>
            <w:vAlign w:val="center"/>
          </w:tcPr>
          <w:p w14:paraId="36FD7449" w14:textId="77777777" w:rsidR="00E15C0D" w:rsidRPr="00512BE3" w:rsidRDefault="00E15C0D" w:rsidP="00E15C0D">
            <w:pPr>
              <w:jc w:val="center"/>
              <w:rPr>
                <w:b/>
                <w:sz w:val="20"/>
                <w:szCs w:val="20"/>
                <w:lang w:val="bs-Latn-BA" w:eastAsia="bs-Latn-BA"/>
              </w:rPr>
            </w:pPr>
            <w:r w:rsidRPr="00512BE3">
              <w:rPr>
                <w:b/>
                <w:sz w:val="20"/>
                <w:szCs w:val="20"/>
                <w:lang w:val="bs-Latn-BA" w:eastAsia="bs-Latn-BA"/>
              </w:rPr>
              <w:t>-66,31%</w:t>
            </w:r>
          </w:p>
        </w:tc>
      </w:tr>
    </w:tbl>
    <w:p w14:paraId="0073E988" w14:textId="4BE4F16B" w:rsidR="004C1A40" w:rsidRPr="00512BE3" w:rsidRDefault="00A8250D" w:rsidP="004C1A40">
      <w:pPr>
        <w:spacing w:before="120"/>
        <w:ind w:firstLine="708"/>
        <w:jc w:val="both"/>
        <w:rPr>
          <w:sz w:val="22"/>
          <w:szCs w:val="22"/>
          <w:lang w:val="bs-Latn-BA"/>
        </w:rPr>
      </w:pPr>
      <w:r w:rsidRPr="00512BE3">
        <w:rPr>
          <w:sz w:val="22"/>
          <w:szCs w:val="22"/>
        </w:rPr>
        <w:lastRenderedPageBreak/>
        <w:t>Pored duhana i duhanskih prerađe</w:t>
      </w:r>
      <w:r w:rsidR="009A7593" w:rsidRPr="00512BE3">
        <w:rPr>
          <w:sz w:val="22"/>
          <w:szCs w:val="22"/>
        </w:rPr>
        <w:t xml:space="preserve">vina, </w:t>
      </w:r>
      <w:r w:rsidR="00F875A9" w:rsidRPr="00512BE3">
        <w:rPr>
          <w:sz w:val="22"/>
          <w:szCs w:val="22"/>
        </w:rPr>
        <w:t xml:space="preserve">bitno je pomenuti i </w:t>
      </w:r>
      <w:r w:rsidR="002F1D5D" w:rsidRPr="00512BE3">
        <w:rPr>
          <w:sz w:val="22"/>
          <w:szCs w:val="22"/>
        </w:rPr>
        <w:t xml:space="preserve">zapljene cigareta bez akciznih markica na CR/GP Rača, tačnije 51.500 paklica cigareta u vrijednosti od 309.000 KM, koja je izvršena u operativnoj akciji kodnog naziva “Strijelac”, kao i u </w:t>
      </w:r>
      <w:r w:rsidR="005C78A1" w:rsidRPr="00512BE3">
        <w:rPr>
          <w:sz w:val="22"/>
          <w:szCs w:val="22"/>
        </w:rPr>
        <w:t xml:space="preserve">prilikom provođenja operativne akcije „Akciza 2022“ na području grada Sarajeva i Istočnog Sarajeva privremeno je oduzeto 11.839 paklica cigareta, 243 paklice ručno motanih cigareta i 271,5 kilograma sitno rezanog duhana, ukupne vrijednosti 118.379,00 KM. </w:t>
      </w:r>
      <w:r w:rsidR="002A470E" w:rsidRPr="00512BE3">
        <w:rPr>
          <w:sz w:val="22"/>
          <w:szCs w:val="22"/>
        </w:rPr>
        <w:t xml:space="preserve">Takođe je bitno pomenuti i </w:t>
      </w:r>
      <w:r w:rsidR="005C78A1" w:rsidRPr="00512BE3">
        <w:rPr>
          <w:sz w:val="22"/>
          <w:szCs w:val="22"/>
        </w:rPr>
        <w:t xml:space="preserve">da je </w:t>
      </w:r>
      <w:r w:rsidR="002A750E" w:rsidRPr="00512BE3">
        <w:rPr>
          <w:sz w:val="22"/>
          <w:szCs w:val="22"/>
        </w:rPr>
        <w:t xml:space="preserve">provođenjem operativnih akcija </w:t>
      </w:r>
      <w:r w:rsidR="00F35096" w:rsidRPr="00512BE3">
        <w:rPr>
          <w:sz w:val="22"/>
          <w:szCs w:val="22"/>
        </w:rPr>
        <w:t xml:space="preserve">kodnog naziva „PLAN“, „DUKS“, „PRAVAC“, „SEKTOR“ </w:t>
      </w:r>
      <w:r w:rsidR="002A750E" w:rsidRPr="00512BE3">
        <w:rPr>
          <w:sz w:val="22"/>
          <w:szCs w:val="22"/>
        </w:rPr>
        <w:t xml:space="preserve">oduzeto </w:t>
      </w:r>
      <w:r w:rsidR="00F35096" w:rsidRPr="00512BE3">
        <w:rPr>
          <w:sz w:val="22"/>
          <w:szCs w:val="22"/>
        </w:rPr>
        <w:t>3.800 paklica cigareta koje nisu bile obilježene akciznim markicama i 12.097 komada neprijavljenih tekstilnih proizvoda ukupne vrijednosti cca 665.000 KM.</w:t>
      </w:r>
      <w:r w:rsidR="00C90D39" w:rsidRPr="00512BE3">
        <w:rPr>
          <w:sz w:val="22"/>
          <w:szCs w:val="22"/>
          <w:lang w:val="bs-Latn-BA"/>
        </w:rPr>
        <w:t xml:space="preserve"> </w:t>
      </w:r>
      <w:r w:rsidR="003E49D9" w:rsidRPr="00512BE3">
        <w:rPr>
          <w:sz w:val="22"/>
          <w:szCs w:val="22"/>
          <w:lang w:val="bs-Latn-BA"/>
        </w:rPr>
        <w:t>A</w:t>
      </w:r>
      <w:r w:rsidR="00D74220" w:rsidRPr="00512BE3">
        <w:rPr>
          <w:sz w:val="22"/>
          <w:szCs w:val="22"/>
          <w:lang w:val="bs-Latn-BA"/>
        </w:rPr>
        <w:t xml:space="preserve">ktivnosti </w:t>
      </w:r>
      <w:r w:rsidR="005C34D4">
        <w:rPr>
          <w:sz w:val="22"/>
          <w:szCs w:val="22"/>
          <w:lang w:val="bs-Latn-BA"/>
        </w:rPr>
        <w:t xml:space="preserve">su takođe usmjerene na sprječavanju </w:t>
      </w:r>
      <w:r w:rsidR="003E49D9" w:rsidRPr="00512BE3">
        <w:rPr>
          <w:sz w:val="22"/>
          <w:szCs w:val="22"/>
          <w:lang w:val="bs-Latn-BA"/>
        </w:rPr>
        <w:t>ilegalne prodaje putničkih motornih vozila i autodijelova</w:t>
      </w:r>
      <w:r w:rsidR="005750EE" w:rsidRPr="00512BE3">
        <w:rPr>
          <w:sz w:val="22"/>
          <w:szCs w:val="22"/>
          <w:lang w:val="bs-Latn-BA"/>
        </w:rPr>
        <w:t xml:space="preserve">, od čega je </w:t>
      </w:r>
      <w:r w:rsidR="00821471" w:rsidRPr="00512BE3">
        <w:rPr>
          <w:sz w:val="22"/>
          <w:szCs w:val="22"/>
          <w:lang w:val="bs-Latn-BA"/>
        </w:rPr>
        <w:t>bitno</w:t>
      </w:r>
      <w:r w:rsidR="005750EE" w:rsidRPr="00512BE3">
        <w:rPr>
          <w:sz w:val="22"/>
          <w:szCs w:val="22"/>
          <w:lang w:val="bs-Latn-BA"/>
        </w:rPr>
        <w:t xml:space="preserve"> pomenuti </w:t>
      </w:r>
      <w:r w:rsidR="003E49D9" w:rsidRPr="00512BE3">
        <w:rPr>
          <w:sz w:val="22"/>
          <w:szCs w:val="22"/>
          <w:lang w:val="bs-Latn-BA"/>
        </w:rPr>
        <w:t>da je kod jednog poreskog obveznika usporedbom knjigovodstvene i saobraćajne dokumentacije sa zatečenim vozilima pronađeno 20 vozila za koje vlasnik nije posjedovao dokumntaciju o porijeklu/nabavci, te su ista privremeno oduzeta u vrijednosti cca 159.750 KM; na području Laktaša i Gradiške privremeno je oduzeta roba u vrijednosti od 237.530 KM (pmw-oštećena, autodijelovi i drugo)</w:t>
      </w:r>
      <w:r w:rsidR="002A470E" w:rsidRPr="00512BE3">
        <w:rPr>
          <w:sz w:val="22"/>
          <w:szCs w:val="22"/>
          <w:lang w:val="bs-Latn-BA"/>
        </w:rPr>
        <w:t>;</w:t>
      </w:r>
      <w:r w:rsidR="00AC734C" w:rsidRPr="00512BE3">
        <w:rPr>
          <w:sz w:val="22"/>
          <w:szCs w:val="22"/>
          <w:lang w:val="bs-Latn-BA"/>
        </w:rPr>
        <w:t xml:space="preserve"> </w:t>
      </w:r>
      <w:r w:rsidR="003E49D9" w:rsidRPr="00512BE3">
        <w:rPr>
          <w:sz w:val="22"/>
          <w:szCs w:val="22"/>
          <w:lang w:val="bs-Latn-BA"/>
        </w:rPr>
        <w:t>kao i u okviru operativne akcije „AUTO-OTPAD 2022“</w:t>
      </w:r>
      <w:r w:rsidR="00FE695F" w:rsidRPr="00512BE3">
        <w:rPr>
          <w:sz w:val="22"/>
          <w:szCs w:val="22"/>
          <w:lang w:val="bs-Latn-BA"/>
        </w:rPr>
        <w:t xml:space="preserve"> izvršena </w:t>
      </w:r>
      <w:r w:rsidR="005C34D4">
        <w:rPr>
          <w:sz w:val="22"/>
          <w:szCs w:val="22"/>
          <w:lang w:val="bs-Latn-BA"/>
        </w:rPr>
        <w:t xml:space="preserve">je </w:t>
      </w:r>
      <w:r w:rsidR="00FE695F" w:rsidRPr="00512BE3">
        <w:rPr>
          <w:sz w:val="22"/>
          <w:szCs w:val="22"/>
          <w:lang w:val="bs-Latn-BA"/>
        </w:rPr>
        <w:t xml:space="preserve">provjera na </w:t>
      </w:r>
      <w:r w:rsidR="005C34D4">
        <w:rPr>
          <w:sz w:val="22"/>
          <w:szCs w:val="22"/>
          <w:lang w:val="bs-Latn-BA"/>
        </w:rPr>
        <w:t>osam</w:t>
      </w:r>
      <w:r w:rsidR="00FE695F" w:rsidRPr="00512BE3">
        <w:rPr>
          <w:sz w:val="22"/>
          <w:szCs w:val="22"/>
          <w:lang w:val="bs-Latn-BA"/>
        </w:rPr>
        <w:t xml:space="preserve"> lokacija od kojih su na šest lokacija pronađena vozila i autodijelovi koji nisu prošli redovnu carinsku proceduru, te </w:t>
      </w:r>
      <w:r w:rsidR="005C34D4">
        <w:rPr>
          <w:sz w:val="22"/>
          <w:szCs w:val="22"/>
          <w:lang w:val="bs-Latn-BA"/>
        </w:rPr>
        <w:t xml:space="preserve">su </w:t>
      </w:r>
      <w:r w:rsidR="00FE695F" w:rsidRPr="00512BE3">
        <w:rPr>
          <w:sz w:val="22"/>
          <w:szCs w:val="22"/>
          <w:lang w:val="bs-Latn-BA"/>
        </w:rPr>
        <w:t xml:space="preserve">ista privremeno oduzeta u vrijednosti od cca 160.000 KM. </w:t>
      </w:r>
      <w:r w:rsidR="00D91298" w:rsidRPr="00512BE3">
        <w:rPr>
          <w:sz w:val="22"/>
          <w:szCs w:val="22"/>
          <w:lang w:val="bs-Latn-BA"/>
        </w:rPr>
        <w:t xml:space="preserve">Tokom 2022. godine oduzimana je i druga </w:t>
      </w:r>
      <w:r w:rsidR="005C34D4">
        <w:rPr>
          <w:sz w:val="22"/>
          <w:szCs w:val="22"/>
          <w:lang w:val="bs-Latn-BA"/>
        </w:rPr>
        <w:t>razna roba (lepeze, snijeg sprej, satovi i dr</w:t>
      </w:r>
      <w:r w:rsidR="00D91298" w:rsidRPr="00512BE3">
        <w:rPr>
          <w:sz w:val="22"/>
          <w:szCs w:val="22"/>
          <w:lang w:val="bs-Latn-BA"/>
        </w:rPr>
        <w:t>) procijenjene vrijednosti cca 414.950 KM, kao i da je prilikom detaljnog pregleda uvozne pošiljke izvrš</w:t>
      </w:r>
      <w:r w:rsidR="003D2C74" w:rsidRPr="00512BE3">
        <w:rPr>
          <w:sz w:val="22"/>
          <w:szCs w:val="22"/>
          <w:lang w:val="bs-Latn-BA"/>
        </w:rPr>
        <w:t>eno</w:t>
      </w:r>
      <w:r w:rsidR="00D91298" w:rsidRPr="00512BE3">
        <w:rPr>
          <w:sz w:val="22"/>
          <w:szCs w:val="22"/>
          <w:lang w:val="bs-Latn-BA"/>
        </w:rPr>
        <w:t xml:space="preserve"> privremeno oduzimanje mašine koja svojim izgledom asocira na mašinu za rezanje duhana, a prilikom ulaska u BiH od strane uvoznika je prijavljena kao mašina za pakovanje šećera, u vrijednosti cca 170.000 KM.</w:t>
      </w:r>
    </w:p>
    <w:p w14:paraId="2B2ADE39" w14:textId="073A39E5" w:rsidR="00EB28EC" w:rsidRDefault="004C1A40" w:rsidP="004C1A40">
      <w:pPr>
        <w:jc w:val="both"/>
        <w:rPr>
          <w:sz w:val="22"/>
          <w:szCs w:val="22"/>
          <w:lang w:val="bs-Latn-BA"/>
        </w:rPr>
      </w:pPr>
      <w:r>
        <w:rPr>
          <w:sz w:val="22"/>
          <w:szCs w:val="22"/>
        </w:rPr>
        <w:t xml:space="preserve">U oblasti </w:t>
      </w:r>
      <w:r w:rsidRPr="00531B58">
        <w:rPr>
          <w:sz w:val="22"/>
          <w:szCs w:val="22"/>
        </w:rPr>
        <w:t>istra</w:t>
      </w:r>
      <w:r>
        <w:rPr>
          <w:sz w:val="22"/>
          <w:szCs w:val="22"/>
        </w:rPr>
        <w:t>žnih aktivnosti, u izvještajnom periodu,</w:t>
      </w:r>
      <w:r w:rsidRPr="00531B58">
        <w:rPr>
          <w:sz w:val="22"/>
          <w:szCs w:val="22"/>
        </w:rPr>
        <w:t xml:space="preserve"> intenzivno </w:t>
      </w:r>
      <w:r>
        <w:rPr>
          <w:sz w:val="22"/>
          <w:szCs w:val="22"/>
        </w:rPr>
        <w:t xml:space="preserve">se </w:t>
      </w:r>
      <w:r w:rsidRPr="00531B58">
        <w:rPr>
          <w:sz w:val="22"/>
          <w:szCs w:val="22"/>
        </w:rPr>
        <w:t>sarađival</w:t>
      </w:r>
      <w:r>
        <w:rPr>
          <w:sz w:val="22"/>
          <w:szCs w:val="22"/>
        </w:rPr>
        <w:t>o sa</w:t>
      </w:r>
      <w:r w:rsidRPr="00531B58">
        <w:rPr>
          <w:sz w:val="22"/>
          <w:szCs w:val="22"/>
        </w:rPr>
        <w:t xml:space="preserve"> postupajućim tužiocima i sudijama, te preduz</w:t>
      </w:r>
      <w:r>
        <w:rPr>
          <w:sz w:val="22"/>
          <w:szCs w:val="22"/>
        </w:rPr>
        <w:t>imale</w:t>
      </w:r>
      <w:r w:rsidRPr="00531B58">
        <w:rPr>
          <w:sz w:val="22"/>
          <w:szCs w:val="22"/>
        </w:rPr>
        <w:t xml:space="preserve"> potrebne mjere, radnje i aktivnosti</w:t>
      </w:r>
      <w:r>
        <w:rPr>
          <w:sz w:val="22"/>
          <w:szCs w:val="22"/>
        </w:rPr>
        <w:t>,</w:t>
      </w:r>
      <w:r w:rsidRPr="004C1A40">
        <w:rPr>
          <w:sz w:val="22"/>
          <w:szCs w:val="22"/>
        </w:rPr>
        <w:t xml:space="preserve"> </w:t>
      </w:r>
      <w:r>
        <w:rPr>
          <w:sz w:val="22"/>
          <w:szCs w:val="22"/>
        </w:rPr>
        <w:t>kao i po</w:t>
      </w:r>
      <w:r w:rsidRPr="00531B58">
        <w:rPr>
          <w:sz w:val="22"/>
          <w:szCs w:val="22"/>
        </w:rPr>
        <w:t xml:space="preserve"> veoma velik</w:t>
      </w:r>
      <w:r>
        <w:rPr>
          <w:sz w:val="22"/>
          <w:szCs w:val="22"/>
        </w:rPr>
        <w:t>om</w:t>
      </w:r>
      <w:r w:rsidRPr="00531B58">
        <w:rPr>
          <w:sz w:val="22"/>
          <w:szCs w:val="22"/>
        </w:rPr>
        <w:t xml:space="preserve"> broj</w:t>
      </w:r>
      <w:r>
        <w:rPr>
          <w:sz w:val="22"/>
          <w:szCs w:val="22"/>
        </w:rPr>
        <w:t>u</w:t>
      </w:r>
      <w:r w:rsidRPr="00531B58">
        <w:rPr>
          <w:sz w:val="22"/>
          <w:szCs w:val="22"/>
        </w:rPr>
        <w:t xml:space="preserve"> drugih naredbi i zahtjeva Suda i Tužilaštva BiH</w:t>
      </w:r>
      <w:r>
        <w:rPr>
          <w:sz w:val="22"/>
          <w:szCs w:val="22"/>
        </w:rPr>
        <w:t>,</w:t>
      </w:r>
      <w:r w:rsidRPr="00531B58">
        <w:rPr>
          <w:sz w:val="22"/>
          <w:szCs w:val="22"/>
        </w:rPr>
        <w:t xml:space="preserve"> </w:t>
      </w:r>
      <w:r>
        <w:rPr>
          <w:sz w:val="22"/>
          <w:szCs w:val="22"/>
        </w:rPr>
        <w:t>koje aktivnosti su izvršavane</w:t>
      </w:r>
      <w:r w:rsidRPr="00531B58">
        <w:rPr>
          <w:sz w:val="22"/>
          <w:szCs w:val="22"/>
        </w:rPr>
        <w:t xml:space="preserve"> u zadatim rokovima</w:t>
      </w:r>
      <w:r>
        <w:rPr>
          <w:sz w:val="22"/>
          <w:szCs w:val="22"/>
        </w:rPr>
        <w:t xml:space="preserve">. </w:t>
      </w:r>
      <w:r>
        <w:rPr>
          <w:sz w:val="22"/>
          <w:lang w:val="bs-Latn-BA" w:eastAsia="en-US"/>
        </w:rPr>
        <w:t xml:space="preserve">Provođene su </w:t>
      </w:r>
      <w:r w:rsidR="002A470E" w:rsidRPr="00512BE3">
        <w:rPr>
          <w:sz w:val="22"/>
          <w:lang w:val="bs-Latn-BA" w:eastAsia="en-US"/>
        </w:rPr>
        <w:t>istražn</w:t>
      </w:r>
      <w:r>
        <w:rPr>
          <w:sz w:val="22"/>
          <w:lang w:val="bs-Latn-BA" w:eastAsia="en-US"/>
        </w:rPr>
        <w:t>e</w:t>
      </w:r>
      <w:r w:rsidR="002A470E" w:rsidRPr="00512BE3">
        <w:rPr>
          <w:sz w:val="22"/>
          <w:lang w:val="bs-Latn-BA" w:eastAsia="en-US"/>
        </w:rPr>
        <w:t xml:space="preserve"> radnj</w:t>
      </w:r>
      <w:r>
        <w:rPr>
          <w:sz w:val="22"/>
          <w:lang w:val="bs-Latn-BA" w:eastAsia="en-US"/>
        </w:rPr>
        <w:t>e</w:t>
      </w:r>
      <w:r w:rsidR="002A470E" w:rsidRPr="00512BE3">
        <w:rPr>
          <w:sz w:val="22"/>
          <w:lang w:val="bs-Latn-BA" w:eastAsia="en-US"/>
        </w:rPr>
        <w:t xml:space="preserve"> na prikupljanju dokaza o počinjenim krivičnim djelima iz oblasti indirektnih poreza</w:t>
      </w:r>
      <w:r w:rsidR="00636250" w:rsidRPr="00512BE3">
        <w:rPr>
          <w:sz w:val="22"/>
          <w:lang w:val="bs-Latn-BA" w:eastAsia="en-US"/>
        </w:rPr>
        <w:t xml:space="preserve"> i</w:t>
      </w:r>
      <w:r w:rsidR="002722B0">
        <w:rPr>
          <w:sz w:val="22"/>
          <w:lang w:val="bs-Latn-BA" w:eastAsia="en-US"/>
        </w:rPr>
        <w:t xml:space="preserve"> </w:t>
      </w:r>
      <w:r w:rsidR="002722B0">
        <w:rPr>
          <w:sz w:val="22"/>
          <w:szCs w:val="22"/>
          <w:lang w:val="bs-Latn-BA"/>
        </w:rPr>
        <w:t>podnesene</w:t>
      </w:r>
      <w:r w:rsidR="002722B0" w:rsidRPr="00512BE3">
        <w:rPr>
          <w:sz w:val="22"/>
          <w:szCs w:val="22"/>
          <w:lang w:val="bs-Latn-BA"/>
        </w:rPr>
        <w:t xml:space="preserve"> </w:t>
      </w:r>
      <w:r w:rsidR="002722B0">
        <w:rPr>
          <w:sz w:val="22"/>
          <w:szCs w:val="22"/>
          <w:lang w:val="bs-Latn-BA"/>
        </w:rPr>
        <w:t xml:space="preserve">su </w:t>
      </w:r>
      <w:r w:rsidR="002722B0" w:rsidRPr="001A2DBA">
        <w:rPr>
          <w:sz w:val="22"/>
          <w:szCs w:val="22"/>
          <w:lang w:val="bs-Latn-BA"/>
        </w:rPr>
        <w:t xml:space="preserve">74 </w:t>
      </w:r>
      <w:r w:rsidR="002722B0">
        <w:rPr>
          <w:sz w:val="22"/>
          <w:szCs w:val="22"/>
          <w:lang w:val="bs-Latn-BA"/>
        </w:rPr>
        <w:t>krivične</w:t>
      </w:r>
      <w:r w:rsidR="002722B0" w:rsidRPr="001A2DBA">
        <w:rPr>
          <w:sz w:val="22"/>
          <w:szCs w:val="22"/>
          <w:lang w:val="bs-Latn-BA"/>
        </w:rPr>
        <w:t xml:space="preserve"> prijav</w:t>
      </w:r>
      <w:r w:rsidR="002722B0">
        <w:rPr>
          <w:sz w:val="22"/>
          <w:szCs w:val="22"/>
          <w:lang w:val="bs-Latn-BA"/>
        </w:rPr>
        <w:t>e</w:t>
      </w:r>
      <w:r w:rsidR="002722B0" w:rsidRPr="001A2DBA">
        <w:rPr>
          <w:sz w:val="22"/>
          <w:szCs w:val="22"/>
          <w:lang w:val="bs-Latn-BA"/>
        </w:rPr>
        <w:t xml:space="preserve"> nadležnim tužilaštvima u 2022</w:t>
      </w:r>
      <w:r w:rsidR="002722B0">
        <w:rPr>
          <w:sz w:val="22"/>
          <w:szCs w:val="22"/>
          <w:lang w:val="bs-Latn-BA"/>
        </w:rPr>
        <w:t xml:space="preserve">. godini </w:t>
      </w:r>
      <w:r w:rsidR="00636250" w:rsidRPr="00512BE3">
        <w:rPr>
          <w:sz w:val="22"/>
          <w:lang w:val="bs-Latn-BA" w:eastAsia="en-US"/>
        </w:rPr>
        <w:t xml:space="preserve"> </w:t>
      </w:r>
      <w:r w:rsidR="002722B0">
        <w:rPr>
          <w:sz w:val="22"/>
          <w:lang w:val="bs-Latn-BA" w:eastAsia="en-US"/>
        </w:rPr>
        <w:t xml:space="preserve">sa iznosom </w:t>
      </w:r>
      <w:r w:rsidR="002722B0" w:rsidRPr="00512BE3">
        <w:rPr>
          <w:sz w:val="22"/>
          <w:szCs w:val="22"/>
          <w:lang w:val="bs-Latn-BA"/>
        </w:rPr>
        <w:t>prijavljene štete</w:t>
      </w:r>
      <w:r w:rsidR="002722B0" w:rsidRPr="00512BE3">
        <w:rPr>
          <w:sz w:val="22"/>
          <w:lang w:val="bs-Latn-BA" w:eastAsia="en-US"/>
        </w:rPr>
        <w:t xml:space="preserve"> </w:t>
      </w:r>
      <w:r w:rsidR="002722B0">
        <w:rPr>
          <w:sz w:val="22"/>
          <w:lang w:val="bs-Latn-BA" w:eastAsia="en-US"/>
        </w:rPr>
        <w:t>od 67.160.147,53 KM.</w:t>
      </w:r>
      <w:r w:rsidR="003D2C74" w:rsidRPr="00512BE3">
        <w:rPr>
          <w:sz w:val="22"/>
          <w:szCs w:val="22"/>
          <w:lang w:val="bs-Latn-BA"/>
        </w:rPr>
        <w:t xml:space="preserve"> </w:t>
      </w:r>
      <w:r>
        <w:rPr>
          <w:sz w:val="22"/>
          <w:szCs w:val="22"/>
          <w:lang w:val="bs-Latn-BA"/>
        </w:rPr>
        <w:t>Posebno ističemo</w:t>
      </w:r>
      <w:r w:rsidR="003D2C74" w:rsidRPr="00512BE3">
        <w:rPr>
          <w:sz w:val="22"/>
          <w:szCs w:val="22"/>
          <w:lang w:val="bs-Latn-BA"/>
        </w:rPr>
        <w:t xml:space="preserve"> prijave sa milionskim iznosima štete po Budžet BiH kao što su prijave protiv pravnog lica MDM GENERAL COMPANY d.o.o. Brčko sa prijavljenim ukupnim iznosom štete po budžet BiH od 10.620.376,00 KM, IMPERA ELEKTORNIK d.o.o. Brčko sa prijavljenim ukupnim iznosom štete po budžet BiH od 17.240.438,00 KM i dr.</w:t>
      </w:r>
      <w:r w:rsidR="002722B0">
        <w:rPr>
          <w:sz w:val="22"/>
          <w:szCs w:val="22"/>
          <w:lang w:val="bs-Latn-BA"/>
        </w:rPr>
        <w:t>U tabelarnom pregledu (</w:t>
      </w:r>
      <w:r w:rsidR="002722B0" w:rsidRPr="004C1A40">
        <w:rPr>
          <w:i/>
          <w:sz w:val="22"/>
          <w:szCs w:val="22"/>
          <w:lang w:val="bs-Latn-BA"/>
        </w:rPr>
        <w:t>Tabela 18.)</w:t>
      </w:r>
      <w:r>
        <w:rPr>
          <w:sz w:val="22"/>
          <w:szCs w:val="22"/>
          <w:lang w:val="bs-Latn-BA"/>
        </w:rPr>
        <w:t xml:space="preserve"> dat je pregled</w:t>
      </w:r>
      <w:r w:rsidR="002722B0">
        <w:rPr>
          <w:sz w:val="22"/>
          <w:szCs w:val="22"/>
          <w:lang w:val="bs-Latn-BA"/>
        </w:rPr>
        <w:t xml:space="preserve"> pravn</w:t>
      </w:r>
      <w:r>
        <w:rPr>
          <w:sz w:val="22"/>
          <w:szCs w:val="22"/>
          <w:lang w:val="bs-Latn-BA"/>
        </w:rPr>
        <w:t>e</w:t>
      </w:r>
      <w:r w:rsidR="002722B0">
        <w:rPr>
          <w:sz w:val="22"/>
          <w:szCs w:val="22"/>
          <w:lang w:val="bs-Latn-BA"/>
        </w:rPr>
        <w:t xml:space="preserve"> </w:t>
      </w:r>
      <w:r>
        <w:rPr>
          <w:sz w:val="22"/>
          <w:szCs w:val="22"/>
          <w:lang w:val="bs-Latn-BA"/>
        </w:rPr>
        <w:t>kvalifikacije</w:t>
      </w:r>
      <w:r w:rsidR="002722B0">
        <w:rPr>
          <w:sz w:val="22"/>
          <w:szCs w:val="22"/>
          <w:lang w:val="bs-Latn-BA"/>
        </w:rPr>
        <w:t xml:space="preserve"> prijavljenih krivičnih djela.</w:t>
      </w:r>
    </w:p>
    <w:p w14:paraId="5FCBB35F" w14:textId="77777777" w:rsidR="00C07E37" w:rsidRPr="00512BE3" w:rsidRDefault="00C07E37" w:rsidP="004C1A40">
      <w:pPr>
        <w:jc w:val="both"/>
        <w:rPr>
          <w:sz w:val="22"/>
          <w:szCs w:val="22"/>
          <w:lang w:val="bs-Latn-BA"/>
        </w:rPr>
      </w:pPr>
    </w:p>
    <w:p w14:paraId="5987194A" w14:textId="5C587062" w:rsidR="000765DD" w:rsidRPr="00512BE3" w:rsidRDefault="00EF7156" w:rsidP="00F117EF">
      <w:pPr>
        <w:spacing w:after="40"/>
        <w:rPr>
          <w:b/>
          <w:i/>
          <w:sz w:val="22"/>
          <w:szCs w:val="22"/>
        </w:rPr>
      </w:pPr>
      <w:r w:rsidRPr="00512BE3">
        <w:rPr>
          <w:b/>
          <w:i/>
          <w:sz w:val="22"/>
          <w:szCs w:val="22"/>
        </w:rPr>
        <w:t xml:space="preserve">Tabela </w:t>
      </w:r>
      <w:r w:rsidR="002722B0">
        <w:rPr>
          <w:b/>
          <w:i/>
          <w:sz w:val="22"/>
          <w:szCs w:val="22"/>
        </w:rPr>
        <w:t>18</w:t>
      </w:r>
      <w:r w:rsidR="00F117EF" w:rsidRPr="00512BE3">
        <w:rPr>
          <w:b/>
          <w:i/>
          <w:sz w:val="22"/>
          <w:szCs w:val="22"/>
        </w:rPr>
        <w:t xml:space="preserve">: </w:t>
      </w:r>
      <w:r w:rsidR="002600A1" w:rsidRPr="00512BE3">
        <w:rPr>
          <w:b/>
          <w:i/>
          <w:sz w:val="22"/>
          <w:szCs w:val="22"/>
        </w:rPr>
        <w:t>Pravna kvalifikacija prijavljenih kri</w:t>
      </w:r>
      <w:r w:rsidR="003D2C74" w:rsidRPr="00512BE3">
        <w:rPr>
          <w:b/>
          <w:i/>
          <w:sz w:val="22"/>
          <w:szCs w:val="22"/>
        </w:rPr>
        <w:t>vičnih djela u 2022</w:t>
      </w:r>
      <w:r w:rsidR="002600A1" w:rsidRPr="00512BE3">
        <w:rPr>
          <w:b/>
          <w:i/>
          <w:sz w:val="22"/>
          <w:szCs w:val="22"/>
        </w:rPr>
        <w:t>. godini</w:t>
      </w:r>
    </w:p>
    <w:tbl>
      <w:tblPr>
        <w:tblW w:w="8949" w:type="dxa"/>
        <w:tblInd w:w="-5" w:type="dxa"/>
        <w:tblLook w:val="04A0" w:firstRow="1" w:lastRow="0" w:firstColumn="1" w:lastColumn="0" w:noHBand="0" w:noVBand="1"/>
      </w:tblPr>
      <w:tblGrid>
        <w:gridCol w:w="4820"/>
        <w:gridCol w:w="2619"/>
        <w:gridCol w:w="1510"/>
      </w:tblGrid>
      <w:tr w:rsidR="000765DD" w:rsidRPr="00512BE3" w14:paraId="03F3A9F8" w14:textId="77777777" w:rsidTr="000765DD">
        <w:trPr>
          <w:trHeight w:val="247"/>
        </w:trPr>
        <w:tc>
          <w:tcPr>
            <w:tcW w:w="4820" w:type="dxa"/>
            <w:tcBorders>
              <w:top w:val="single" w:sz="8" w:space="0" w:color="auto"/>
              <w:left w:val="single" w:sz="4" w:space="0" w:color="auto"/>
              <w:bottom w:val="single" w:sz="8" w:space="0" w:color="auto"/>
              <w:right w:val="single" w:sz="8" w:space="0" w:color="auto"/>
            </w:tcBorders>
            <w:shd w:val="clear" w:color="auto" w:fill="B8CCE4"/>
            <w:vAlign w:val="center"/>
            <w:hideMark/>
          </w:tcPr>
          <w:p w14:paraId="672E22F3" w14:textId="77777777" w:rsidR="000765DD" w:rsidRPr="00512BE3" w:rsidRDefault="000765DD" w:rsidP="003D2C74">
            <w:pPr>
              <w:jc w:val="center"/>
              <w:rPr>
                <w:b/>
                <w:bCs/>
                <w:sz w:val="18"/>
                <w:szCs w:val="20"/>
                <w:lang w:val="bs-Latn-BA" w:eastAsia="bs-Latn-BA"/>
              </w:rPr>
            </w:pPr>
            <w:r w:rsidRPr="00512BE3">
              <w:rPr>
                <w:b/>
                <w:bCs/>
                <w:sz w:val="18"/>
                <w:szCs w:val="20"/>
                <w:lang w:val="bs-Latn-BA" w:eastAsia="bs-Latn-BA"/>
              </w:rPr>
              <w:t>Kvalifikacija krivičnog djela</w:t>
            </w:r>
          </w:p>
        </w:tc>
        <w:tc>
          <w:tcPr>
            <w:tcW w:w="2619" w:type="dxa"/>
            <w:tcBorders>
              <w:top w:val="single" w:sz="8" w:space="0" w:color="auto"/>
              <w:left w:val="nil"/>
              <w:bottom w:val="single" w:sz="8" w:space="0" w:color="auto"/>
              <w:right w:val="single" w:sz="8" w:space="0" w:color="auto"/>
            </w:tcBorders>
            <w:shd w:val="clear" w:color="auto" w:fill="B8CCE4"/>
            <w:vAlign w:val="center"/>
            <w:hideMark/>
          </w:tcPr>
          <w:p w14:paraId="6FFFB8A3" w14:textId="77777777" w:rsidR="000765DD" w:rsidRPr="00512BE3" w:rsidRDefault="000765DD" w:rsidP="003D2C74">
            <w:pPr>
              <w:jc w:val="center"/>
              <w:rPr>
                <w:b/>
                <w:bCs/>
                <w:sz w:val="18"/>
                <w:szCs w:val="20"/>
                <w:lang w:val="bs-Latn-BA" w:eastAsia="bs-Latn-BA"/>
              </w:rPr>
            </w:pPr>
            <w:r w:rsidRPr="00512BE3">
              <w:rPr>
                <w:b/>
                <w:bCs/>
                <w:sz w:val="18"/>
                <w:szCs w:val="20"/>
                <w:lang w:val="bs-Latn-BA" w:eastAsia="bs-Latn-BA"/>
              </w:rPr>
              <w:t>Broj prijava podnesenih nadležnim tužilaštvima</w:t>
            </w:r>
          </w:p>
        </w:tc>
        <w:tc>
          <w:tcPr>
            <w:tcW w:w="1510" w:type="dxa"/>
            <w:tcBorders>
              <w:top w:val="single" w:sz="8" w:space="0" w:color="auto"/>
              <w:left w:val="nil"/>
              <w:bottom w:val="single" w:sz="8" w:space="0" w:color="auto"/>
              <w:right w:val="single" w:sz="8" w:space="0" w:color="auto"/>
            </w:tcBorders>
            <w:shd w:val="clear" w:color="auto" w:fill="B8CCE4"/>
            <w:vAlign w:val="center"/>
            <w:hideMark/>
          </w:tcPr>
          <w:p w14:paraId="405B48CA" w14:textId="77777777" w:rsidR="000765DD" w:rsidRPr="00512BE3" w:rsidRDefault="000765DD" w:rsidP="003D2C74">
            <w:pPr>
              <w:jc w:val="right"/>
              <w:rPr>
                <w:b/>
                <w:bCs/>
                <w:sz w:val="18"/>
                <w:szCs w:val="20"/>
                <w:lang w:val="bs-Latn-BA" w:eastAsia="bs-Latn-BA"/>
              </w:rPr>
            </w:pPr>
            <w:r w:rsidRPr="00512BE3">
              <w:rPr>
                <w:b/>
                <w:bCs/>
                <w:sz w:val="18"/>
                <w:szCs w:val="20"/>
                <w:lang w:val="bs-Latn-BA" w:eastAsia="bs-Latn-BA"/>
              </w:rPr>
              <w:t>Iznos štete</w:t>
            </w:r>
          </w:p>
          <w:p w14:paraId="090445BA" w14:textId="77777777" w:rsidR="000765DD" w:rsidRPr="00512BE3" w:rsidRDefault="000765DD" w:rsidP="003D2C74">
            <w:pPr>
              <w:jc w:val="right"/>
              <w:rPr>
                <w:b/>
                <w:bCs/>
                <w:sz w:val="18"/>
                <w:szCs w:val="20"/>
                <w:lang w:val="bs-Latn-BA" w:eastAsia="bs-Latn-BA"/>
              </w:rPr>
            </w:pPr>
            <w:r w:rsidRPr="00512BE3">
              <w:rPr>
                <w:b/>
                <w:bCs/>
                <w:sz w:val="18"/>
                <w:szCs w:val="20"/>
                <w:lang w:val="bs-Latn-BA" w:eastAsia="bs-Latn-BA"/>
              </w:rPr>
              <w:t>(KM)</w:t>
            </w:r>
          </w:p>
        </w:tc>
      </w:tr>
      <w:tr w:rsidR="000765DD" w:rsidRPr="00512BE3" w14:paraId="561D2998" w14:textId="77777777" w:rsidTr="000765DD">
        <w:trPr>
          <w:trHeight w:val="318"/>
        </w:trPr>
        <w:tc>
          <w:tcPr>
            <w:tcW w:w="4820" w:type="dxa"/>
            <w:tcBorders>
              <w:top w:val="nil"/>
              <w:left w:val="single" w:sz="4" w:space="0" w:color="auto"/>
              <w:bottom w:val="single" w:sz="8" w:space="0" w:color="auto"/>
              <w:right w:val="single" w:sz="8" w:space="0" w:color="auto"/>
            </w:tcBorders>
            <w:shd w:val="clear" w:color="auto" w:fill="auto"/>
            <w:vAlign w:val="center"/>
          </w:tcPr>
          <w:p w14:paraId="78EBE3A8" w14:textId="77777777" w:rsidR="000765DD" w:rsidRPr="00512BE3" w:rsidRDefault="000765DD" w:rsidP="003D2C74">
            <w:pPr>
              <w:rPr>
                <w:sz w:val="18"/>
                <w:szCs w:val="20"/>
                <w:lang w:val="sr-Latn-BA" w:eastAsia="sr-Latn-BA"/>
              </w:rPr>
            </w:pPr>
            <w:r w:rsidRPr="00512BE3">
              <w:rPr>
                <w:sz w:val="18"/>
                <w:szCs w:val="20"/>
                <w:lang w:val="bs-Latn-BA"/>
              </w:rPr>
              <w:t>Član 210. KZ BIH (Porezna utaja ili prevara)</w:t>
            </w:r>
          </w:p>
        </w:tc>
        <w:tc>
          <w:tcPr>
            <w:tcW w:w="2619" w:type="dxa"/>
            <w:tcBorders>
              <w:top w:val="nil"/>
              <w:left w:val="nil"/>
              <w:bottom w:val="single" w:sz="8" w:space="0" w:color="auto"/>
              <w:right w:val="single" w:sz="8" w:space="0" w:color="auto"/>
            </w:tcBorders>
            <w:shd w:val="clear" w:color="auto" w:fill="auto"/>
            <w:vAlign w:val="center"/>
          </w:tcPr>
          <w:p w14:paraId="0C898FDB" w14:textId="07056F2F" w:rsidR="000765DD" w:rsidRPr="00512BE3" w:rsidRDefault="000765DD" w:rsidP="000765DD">
            <w:pPr>
              <w:jc w:val="center"/>
              <w:rPr>
                <w:sz w:val="18"/>
                <w:szCs w:val="20"/>
                <w:lang w:val="bs-Latn-BA"/>
              </w:rPr>
            </w:pPr>
            <w:r w:rsidRPr="00512BE3">
              <w:rPr>
                <w:sz w:val="18"/>
                <w:szCs w:val="20"/>
                <w:lang w:val="bs-Latn-BA"/>
              </w:rPr>
              <w:t>1 Dopuna; 23 Izvještaj; 16 Informacija;</w:t>
            </w:r>
          </w:p>
        </w:tc>
        <w:tc>
          <w:tcPr>
            <w:tcW w:w="1510" w:type="dxa"/>
            <w:tcBorders>
              <w:top w:val="nil"/>
              <w:left w:val="nil"/>
              <w:bottom w:val="single" w:sz="8" w:space="0" w:color="auto"/>
              <w:right w:val="single" w:sz="8" w:space="0" w:color="auto"/>
            </w:tcBorders>
            <w:shd w:val="clear" w:color="auto" w:fill="auto"/>
            <w:vAlign w:val="center"/>
          </w:tcPr>
          <w:p w14:paraId="146086B9" w14:textId="77777777" w:rsidR="000765DD" w:rsidRPr="00512BE3" w:rsidRDefault="000765DD" w:rsidP="003D2C74">
            <w:pPr>
              <w:jc w:val="right"/>
              <w:rPr>
                <w:sz w:val="18"/>
                <w:szCs w:val="20"/>
                <w:lang w:val="bs-Latn-BA"/>
              </w:rPr>
            </w:pPr>
            <w:r w:rsidRPr="00512BE3">
              <w:rPr>
                <w:sz w:val="18"/>
                <w:szCs w:val="20"/>
                <w:lang w:val="bs-Latn-BA"/>
              </w:rPr>
              <w:t>6.833.796,43</w:t>
            </w:r>
          </w:p>
        </w:tc>
      </w:tr>
      <w:tr w:rsidR="000765DD" w:rsidRPr="00512BE3" w14:paraId="4F590F45" w14:textId="77777777" w:rsidTr="000765DD">
        <w:trPr>
          <w:trHeight w:val="43"/>
        </w:trPr>
        <w:tc>
          <w:tcPr>
            <w:tcW w:w="4820" w:type="dxa"/>
            <w:tcBorders>
              <w:top w:val="nil"/>
              <w:left w:val="single" w:sz="4" w:space="0" w:color="auto"/>
              <w:bottom w:val="single" w:sz="8" w:space="0" w:color="auto"/>
              <w:right w:val="single" w:sz="8" w:space="0" w:color="auto"/>
            </w:tcBorders>
            <w:shd w:val="clear" w:color="auto" w:fill="auto"/>
            <w:vAlign w:val="center"/>
          </w:tcPr>
          <w:p w14:paraId="7BAF0384" w14:textId="77777777" w:rsidR="000765DD" w:rsidRPr="00512BE3" w:rsidRDefault="000765DD" w:rsidP="003D2C74">
            <w:pPr>
              <w:rPr>
                <w:sz w:val="18"/>
                <w:szCs w:val="20"/>
                <w:lang w:val="bs-Latn-BA"/>
              </w:rPr>
            </w:pPr>
            <w:r w:rsidRPr="00512BE3">
              <w:rPr>
                <w:sz w:val="18"/>
                <w:szCs w:val="20"/>
                <w:lang w:val="bs-Latn-BA"/>
              </w:rPr>
              <w:t>Član 210.a KZ BIH (Nedozvoljeni promet akciznih proizvoda )</w:t>
            </w:r>
          </w:p>
        </w:tc>
        <w:tc>
          <w:tcPr>
            <w:tcW w:w="2619" w:type="dxa"/>
            <w:tcBorders>
              <w:top w:val="nil"/>
              <w:left w:val="nil"/>
              <w:bottom w:val="single" w:sz="8" w:space="0" w:color="auto"/>
              <w:right w:val="single" w:sz="8" w:space="0" w:color="auto"/>
            </w:tcBorders>
            <w:shd w:val="clear" w:color="auto" w:fill="auto"/>
            <w:vAlign w:val="center"/>
          </w:tcPr>
          <w:p w14:paraId="0426D15F" w14:textId="76870ACE" w:rsidR="000765DD" w:rsidRPr="00512BE3" w:rsidRDefault="000765DD" w:rsidP="000765DD">
            <w:pPr>
              <w:jc w:val="center"/>
              <w:rPr>
                <w:sz w:val="18"/>
                <w:szCs w:val="20"/>
                <w:lang w:val="bs-Latn-BA"/>
              </w:rPr>
            </w:pPr>
            <w:r w:rsidRPr="00512BE3">
              <w:rPr>
                <w:sz w:val="18"/>
                <w:szCs w:val="20"/>
                <w:lang w:val="bs-Latn-BA"/>
              </w:rPr>
              <w:t>7 Izvještaj; 2 Informacija;</w:t>
            </w:r>
          </w:p>
        </w:tc>
        <w:tc>
          <w:tcPr>
            <w:tcW w:w="1510" w:type="dxa"/>
            <w:tcBorders>
              <w:top w:val="nil"/>
              <w:left w:val="nil"/>
              <w:bottom w:val="single" w:sz="8" w:space="0" w:color="auto"/>
              <w:right w:val="single" w:sz="8" w:space="0" w:color="auto"/>
            </w:tcBorders>
            <w:shd w:val="clear" w:color="auto" w:fill="auto"/>
            <w:vAlign w:val="center"/>
          </w:tcPr>
          <w:p w14:paraId="603AEB13" w14:textId="77777777" w:rsidR="000765DD" w:rsidRPr="00512BE3" w:rsidRDefault="000765DD" w:rsidP="003D2C74">
            <w:pPr>
              <w:jc w:val="right"/>
              <w:rPr>
                <w:sz w:val="18"/>
                <w:szCs w:val="20"/>
                <w:lang w:val="bs-Latn-BA"/>
              </w:rPr>
            </w:pPr>
            <w:r w:rsidRPr="00512BE3">
              <w:rPr>
                <w:sz w:val="18"/>
                <w:szCs w:val="20"/>
                <w:lang w:val="bs-Latn-BA"/>
              </w:rPr>
              <w:t>10.921.285,81</w:t>
            </w:r>
          </w:p>
        </w:tc>
      </w:tr>
      <w:tr w:rsidR="000765DD" w:rsidRPr="00512BE3" w14:paraId="33CE49FE" w14:textId="77777777" w:rsidTr="000765DD">
        <w:trPr>
          <w:trHeight w:val="270"/>
        </w:trPr>
        <w:tc>
          <w:tcPr>
            <w:tcW w:w="4820" w:type="dxa"/>
            <w:tcBorders>
              <w:top w:val="nil"/>
              <w:left w:val="single" w:sz="4" w:space="0" w:color="auto"/>
              <w:bottom w:val="single" w:sz="8" w:space="0" w:color="auto"/>
              <w:right w:val="single" w:sz="8" w:space="0" w:color="auto"/>
            </w:tcBorders>
            <w:shd w:val="clear" w:color="auto" w:fill="auto"/>
            <w:vAlign w:val="center"/>
          </w:tcPr>
          <w:p w14:paraId="208B1AAA" w14:textId="77777777" w:rsidR="000765DD" w:rsidRPr="00512BE3" w:rsidRDefault="000765DD" w:rsidP="003D2C74">
            <w:pPr>
              <w:rPr>
                <w:sz w:val="18"/>
                <w:szCs w:val="20"/>
                <w:lang w:val="bs-Latn-BA"/>
              </w:rPr>
            </w:pPr>
            <w:r w:rsidRPr="00512BE3">
              <w:rPr>
                <w:sz w:val="18"/>
                <w:szCs w:val="20"/>
                <w:lang w:val="bs-Latn-BA"/>
              </w:rPr>
              <w:t>Član 210.b KZ BIH (Nedozvoljeno skladištenje robe)</w:t>
            </w:r>
          </w:p>
        </w:tc>
        <w:tc>
          <w:tcPr>
            <w:tcW w:w="2619" w:type="dxa"/>
            <w:tcBorders>
              <w:top w:val="nil"/>
              <w:left w:val="nil"/>
              <w:bottom w:val="single" w:sz="8" w:space="0" w:color="auto"/>
              <w:right w:val="single" w:sz="8" w:space="0" w:color="auto"/>
            </w:tcBorders>
            <w:shd w:val="clear" w:color="auto" w:fill="auto"/>
            <w:vAlign w:val="center"/>
          </w:tcPr>
          <w:p w14:paraId="138AAD9F" w14:textId="35B679E9" w:rsidR="000765DD" w:rsidRPr="00512BE3" w:rsidRDefault="000765DD" w:rsidP="000765DD">
            <w:pPr>
              <w:jc w:val="center"/>
              <w:rPr>
                <w:sz w:val="18"/>
                <w:szCs w:val="20"/>
                <w:lang w:val="bs-Latn-BA"/>
              </w:rPr>
            </w:pPr>
            <w:r w:rsidRPr="00512BE3">
              <w:rPr>
                <w:sz w:val="18"/>
                <w:szCs w:val="20"/>
                <w:lang w:val="bs-Latn-BA"/>
              </w:rPr>
              <w:t>1 Izvještaj;</w:t>
            </w:r>
          </w:p>
        </w:tc>
        <w:tc>
          <w:tcPr>
            <w:tcW w:w="1510" w:type="dxa"/>
            <w:tcBorders>
              <w:top w:val="nil"/>
              <w:left w:val="nil"/>
              <w:bottom w:val="single" w:sz="8" w:space="0" w:color="auto"/>
              <w:right w:val="single" w:sz="8" w:space="0" w:color="auto"/>
            </w:tcBorders>
            <w:shd w:val="clear" w:color="auto" w:fill="auto"/>
            <w:vAlign w:val="center"/>
          </w:tcPr>
          <w:p w14:paraId="4A3379A3" w14:textId="77777777" w:rsidR="000765DD" w:rsidRPr="00512BE3" w:rsidRDefault="000765DD" w:rsidP="003D2C74">
            <w:pPr>
              <w:jc w:val="right"/>
              <w:rPr>
                <w:sz w:val="18"/>
                <w:szCs w:val="20"/>
                <w:lang w:val="bs-Latn-BA"/>
              </w:rPr>
            </w:pPr>
            <w:r w:rsidRPr="00512BE3">
              <w:rPr>
                <w:sz w:val="18"/>
                <w:szCs w:val="20"/>
                <w:lang w:val="bs-Latn-BA"/>
              </w:rPr>
              <w:t>0,00</w:t>
            </w:r>
          </w:p>
        </w:tc>
      </w:tr>
      <w:tr w:rsidR="000765DD" w:rsidRPr="00512BE3" w14:paraId="413A324E" w14:textId="77777777" w:rsidTr="000765DD">
        <w:trPr>
          <w:trHeight w:val="274"/>
        </w:trPr>
        <w:tc>
          <w:tcPr>
            <w:tcW w:w="4820" w:type="dxa"/>
            <w:tcBorders>
              <w:top w:val="nil"/>
              <w:left w:val="single" w:sz="4" w:space="0" w:color="auto"/>
              <w:bottom w:val="single" w:sz="8" w:space="0" w:color="auto"/>
              <w:right w:val="single" w:sz="8" w:space="0" w:color="auto"/>
            </w:tcBorders>
            <w:shd w:val="clear" w:color="auto" w:fill="auto"/>
            <w:vAlign w:val="center"/>
          </w:tcPr>
          <w:p w14:paraId="78B2F987" w14:textId="77777777" w:rsidR="000765DD" w:rsidRPr="00512BE3" w:rsidRDefault="000765DD" w:rsidP="003D2C74">
            <w:pPr>
              <w:rPr>
                <w:sz w:val="18"/>
                <w:szCs w:val="20"/>
                <w:lang w:val="bs-Latn-BA"/>
              </w:rPr>
            </w:pPr>
            <w:r w:rsidRPr="00512BE3">
              <w:rPr>
                <w:sz w:val="18"/>
                <w:szCs w:val="20"/>
                <w:lang w:val="bs-Latn-BA"/>
              </w:rPr>
              <w:t>Član 210.b KZ BIH (Nedozvoljeno skladištenje robe); Član 210.a KZ BIH (Nedozvoljeni promet akciznih proizvoda )</w:t>
            </w:r>
          </w:p>
        </w:tc>
        <w:tc>
          <w:tcPr>
            <w:tcW w:w="2619" w:type="dxa"/>
            <w:tcBorders>
              <w:top w:val="nil"/>
              <w:left w:val="nil"/>
              <w:bottom w:val="single" w:sz="8" w:space="0" w:color="auto"/>
              <w:right w:val="single" w:sz="8" w:space="0" w:color="auto"/>
            </w:tcBorders>
            <w:shd w:val="clear" w:color="auto" w:fill="auto"/>
            <w:vAlign w:val="center"/>
          </w:tcPr>
          <w:p w14:paraId="051B9D98" w14:textId="346FBEBB" w:rsidR="000765DD" w:rsidRPr="00512BE3" w:rsidRDefault="000765DD" w:rsidP="000765DD">
            <w:pPr>
              <w:jc w:val="center"/>
              <w:rPr>
                <w:sz w:val="18"/>
                <w:szCs w:val="20"/>
                <w:lang w:val="bs-Latn-BA"/>
              </w:rPr>
            </w:pPr>
            <w:r w:rsidRPr="00512BE3">
              <w:rPr>
                <w:sz w:val="18"/>
                <w:szCs w:val="20"/>
                <w:lang w:val="bs-Latn-BA"/>
              </w:rPr>
              <w:t>3 Izvještaj;</w:t>
            </w:r>
          </w:p>
        </w:tc>
        <w:tc>
          <w:tcPr>
            <w:tcW w:w="1510" w:type="dxa"/>
            <w:tcBorders>
              <w:top w:val="nil"/>
              <w:left w:val="nil"/>
              <w:bottom w:val="single" w:sz="8" w:space="0" w:color="auto"/>
              <w:right w:val="single" w:sz="8" w:space="0" w:color="auto"/>
            </w:tcBorders>
            <w:shd w:val="clear" w:color="auto" w:fill="auto"/>
            <w:vAlign w:val="center"/>
          </w:tcPr>
          <w:p w14:paraId="0F7972EA" w14:textId="77777777" w:rsidR="000765DD" w:rsidRPr="00512BE3" w:rsidRDefault="000765DD" w:rsidP="003D2C74">
            <w:pPr>
              <w:jc w:val="right"/>
              <w:rPr>
                <w:sz w:val="18"/>
                <w:szCs w:val="20"/>
                <w:lang w:val="bs-Latn-BA"/>
              </w:rPr>
            </w:pPr>
            <w:r w:rsidRPr="00512BE3">
              <w:rPr>
                <w:sz w:val="18"/>
                <w:szCs w:val="20"/>
                <w:lang w:val="bs-Latn-BA"/>
              </w:rPr>
              <w:t>187.679,82</w:t>
            </w:r>
          </w:p>
        </w:tc>
      </w:tr>
      <w:tr w:rsidR="000765DD" w:rsidRPr="00512BE3" w14:paraId="7B036207" w14:textId="77777777" w:rsidTr="000765DD">
        <w:trPr>
          <w:trHeight w:val="274"/>
        </w:trPr>
        <w:tc>
          <w:tcPr>
            <w:tcW w:w="4820" w:type="dxa"/>
            <w:tcBorders>
              <w:top w:val="nil"/>
              <w:left w:val="single" w:sz="4" w:space="0" w:color="auto"/>
              <w:bottom w:val="single" w:sz="8" w:space="0" w:color="auto"/>
              <w:right w:val="single" w:sz="8" w:space="0" w:color="auto"/>
            </w:tcBorders>
            <w:shd w:val="clear" w:color="auto" w:fill="auto"/>
            <w:vAlign w:val="center"/>
          </w:tcPr>
          <w:p w14:paraId="135FB0A9" w14:textId="77777777" w:rsidR="000765DD" w:rsidRPr="00512BE3" w:rsidRDefault="000765DD" w:rsidP="003D2C74">
            <w:pPr>
              <w:rPr>
                <w:sz w:val="18"/>
                <w:szCs w:val="20"/>
                <w:lang w:val="bs-Latn-BA"/>
              </w:rPr>
            </w:pPr>
            <w:r w:rsidRPr="00512BE3">
              <w:rPr>
                <w:sz w:val="18"/>
                <w:szCs w:val="20"/>
                <w:lang w:val="bs-Latn-BA"/>
              </w:rPr>
              <w:t>Član 211. KZ BIH (Neplaćanje poreza)</w:t>
            </w:r>
          </w:p>
        </w:tc>
        <w:tc>
          <w:tcPr>
            <w:tcW w:w="2619" w:type="dxa"/>
            <w:tcBorders>
              <w:top w:val="nil"/>
              <w:left w:val="nil"/>
              <w:bottom w:val="single" w:sz="8" w:space="0" w:color="auto"/>
              <w:right w:val="single" w:sz="8" w:space="0" w:color="auto"/>
            </w:tcBorders>
            <w:shd w:val="clear" w:color="auto" w:fill="auto"/>
            <w:vAlign w:val="center"/>
          </w:tcPr>
          <w:p w14:paraId="5908FE5D" w14:textId="3DF4D2AB" w:rsidR="000765DD" w:rsidRPr="00512BE3" w:rsidRDefault="000765DD" w:rsidP="000765DD">
            <w:pPr>
              <w:jc w:val="center"/>
              <w:rPr>
                <w:sz w:val="18"/>
                <w:szCs w:val="20"/>
                <w:lang w:val="bs-Latn-BA"/>
              </w:rPr>
            </w:pPr>
            <w:r w:rsidRPr="00512BE3">
              <w:rPr>
                <w:sz w:val="18"/>
                <w:szCs w:val="20"/>
                <w:lang w:val="bs-Latn-BA"/>
              </w:rPr>
              <w:t>1 Izvještaj;</w:t>
            </w:r>
          </w:p>
        </w:tc>
        <w:tc>
          <w:tcPr>
            <w:tcW w:w="1510" w:type="dxa"/>
            <w:tcBorders>
              <w:top w:val="nil"/>
              <w:left w:val="nil"/>
              <w:bottom w:val="single" w:sz="8" w:space="0" w:color="auto"/>
              <w:right w:val="single" w:sz="8" w:space="0" w:color="auto"/>
            </w:tcBorders>
            <w:shd w:val="clear" w:color="auto" w:fill="auto"/>
            <w:vAlign w:val="center"/>
          </w:tcPr>
          <w:p w14:paraId="49130DC0" w14:textId="77777777" w:rsidR="000765DD" w:rsidRPr="00512BE3" w:rsidRDefault="000765DD" w:rsidP="003D2C74">
            <w:pPr>
              <w:jc w:val="right"/>
              <w:rPr>
                <w:sz w:val="18"/>
                <w:szCs w:val="20"/>
                <w:lang w:val="bs-Latn-BA"/>
              </w:rPr>
            </w:pPr>
            <w:r w:rsidRPr="00512BE3">
              <w:rPr>
                <w:sz w:val="18"/>
                <w:szCs w:val="20"/>
                <w:lang w:val="bs-Latn-BA"/>
              </w:rPr>
              <w:t>365.228,00</w:t>
            </w:r>
          </w:p>
        </w:tc>
      </w:tr>
      <w:tr w:rsidR="000765DD" w:rsidRPr="00512BE3" w14:paraId="647ACB02" w14:textId="77777777" w:rsidTr="000765DD">
        <w:trPr>
          <w:trHeight w:val="612"/>
        </w:trPr>
        <w:tc>
          <w:tcPr>
            <w:tcW w:w="4820" w:type="dxa"/>
            <w:tcBorders>
              <w:top w:val="nil"/>
              <w:left w:val="single" w:sz="4" w:space="0" w:color="auto"/>
              <w:bottom w:val="single" w:sz="8" w:space="0" w:color="auto"/>
              <w:right w:val="single" w:sz="8" w:space="0" w:color="auto"/>
            </w:tcBorders>
            <w:shd w:val="clear" w:color="auto" w:fill="auto"/>
            <w:vAlign w:val="center"/>
          </w:tcPr>
          <w:p w14:paraId="362DB4A8" w14:textId="77777777" w:rsidR="000765DD" w:rsidRPr="00512BE3" w:rsidRDefault="000765DD" w:rsidP="003D2C74">
            <w:pPr>
              <w:rPr>
                <w:sz w:val="18"/>
                <w:szCs w:val="20"/>
                <w:lang w:val="bs-Latn-BA"/>
              </w:rPr>
            </w:pPr>
            <w:r w:rsidRPr="00512BE3">
              <w:rPr>
                <w:sz w:val="18"/>
                <w:szCs w:val="20"/>
                <w:lang w:val="bs-Latn-BA"/>
              </w:rPr>
              <w:t xml:space="preserve">Član 212. KZ BIH (Nedopuštena trgovina ); Član 209. KZ BIH (Pranje novca ); Član 210.a KZ BIH (Nedozvoljeni promet akciznih proizvoda ) </w:t>
            </w:r>
          </w:p>
        </w:tc>
        <w:tc>
          <w:tcPr>
            <w:tcW w:w="2619" w:type="dxa"/>
            <w:tcBorders>
              <w:top w:val="nil"/>
              <w:left w:val="nil"/>
              <w:bottom w:val="single" w:sz="8" w:space="0" w:color="auto"/>
              <w:right w:val="single" w:sz="8" w:space="0" w:color="auto"/>
            </w:tcBorders>
            <w:shd w:val="clear" w:color="auto" w:fill="auto"/>
            <w:vAlign w:val="center"/>
          </w:tcPr>
          <w:p w14:paraId="1278681A" w14:textId="7442AF94" w:rsidR="000765DD" w:rsidRPr="00512BE3" w:rsidRDefault="000765DD" w:rsidP="000765DD">
            <w:pPr>
              <w:jc w:val="center"/>
              <w:rPr>
                <w:sz w:val="18"/>
                <w:szCs w:val="20"/>
                <w:lang w:val="bs-Latn-BA"/>
              </w:rPr>
            </w:pPr>
            <w:r w:rsidRPr="00512BE3">
              <w:rPr>
                <w:sz w:val="18"/>
                <w:szCs w:val="20"/>
                <w:lang w:val="bs-Latn-BA"/>
              </w:rPr>
              <w:t>2 Dopuna; 1 Izvještaj; 2 Informacija;</w:t>
            </w:r>
          </w:p>
        </w:tc>
        <w:tc>
          <w:tcPr>
            <w:tcW w:w="1510" w:type="dxa"/>
            <w:tcBorders>
              <w:top w:val="nil"/>
              <w:left w:val="nil"/>
              <w:bottom w:val="single" w:sz="8" w:space="0" w:color="auto"/>
              <w:right w:val="single" w:sz="8" w:space="0" w:color="auto"/>
            </w:tcBorders>
            <w:shd w:val="clear" w:color="auto" w:fill="auto"/>
            <w:vAlign w:val="center"/>
          </w:tcPr>
          <w:p w14:paraId="303E6378" w14:textId="77777777" w:rsidR="000765DD" w:rsidRPr="00512BE3" w:rsidRDefault="000765DD" w:rsidP="003D2C74">
            <w:pPr>
              <w:jc w:val="right"/>
              <w:rPr>
                <w:sz w:val="18"/>
                <w:szCs w:val="20"/>
                <w:lang w:val="bs-Latn-BA"/>
              </w:rPr>
            </w:pPr>
            <w:r w:rsidRPr="00512BE3">
              <w:rPr>
                <w:sz w:val="18"/>
                <w:szCs w:val="20"/>
                <w:lang w:val="bs-Latn-BA"/>
              </w:rPr>
              <w:t>36.885.505,74</w:t>
            </w:r>
          </w:p>
        </w:tc>
      </w:tr>
      <w:tr w:rsidR="000765DD" w:rsidRPr="00512BE3" w14:paraId="5407C48B" w14:textId="77777777" w:rsidTr="000765DD">
        <w:trPr>
          <w:trHeight w:val="362"/>
        </w:trPr>
        <w:tc>
          <w:tcPr>
            <w:tcW w:w="4820" w:type="dxa"/>
            <w:tcBorders>
              <w:top w:val="nil"/>
              <w:left w:val="single" w:sz="4" w:space="0" w:color="auto"/>
              <w:bottom w:val="single" w:sz="8" w:space="0" w:color="auto"/>
              <w:right w:val="single" w:sz="8" w:space="0" w:color="auto"/>
            </w:tcBorders>
            <w:shd w:val="clear" w:color="auto" w:fill="auto"/>
            <w:vAlign w:val="center"/>
          </w:tcPr>
          <w:p w14:paraId="65C4271A" w14:textId="77777777" w:rsidR="000765DD" w:rsidRPr="00512BE3" w:rsidRDefault="000765DD" w:rsidP="003D2C74">
            <w:pPr>
              <w:rPr>
                <w:sz w:val="18"/>
                <w:szCs w:val="20"/>
                <w:lang w:val="bs-Latn-BA"/>
              </w:rPr>
            </w:pPr>
            <w:r w:rsidRPr="00512BE3">
              <w:rPr>
                <w:sz w:val="18"/>
                <w:szCs w:val="20"/>
                <w:lang w:val="bs-Latn-BA"/>
              </w:rPr>
              <w:t xml:space="preserve">Član 214. KZ BIH (Krijumčarenje) </w:t>
            </w:r>
          </w:p>
        </w:tc>
        <w:tc>
          <w:tcPr>
            <w:tcW w:w="2619" w:type="dxa"/>
            <w:tcBorders>
              <w:top w:val="nil"/>
              <w:left w:val="nil"/>
              <w:bottom w:val="single" w:sz="8" w:space="0" w:color="auto"/>
              <w:right w:val="single" w:sz="8" w:space="0" w:color="auto"/>
            </w:tcBorders>
            <w:shd w:val="clear" w:color="auto" w:fill="auto"/>
            <w:vAlign w:val="center"/>
          </w:tcPr>
          <w:p w14:paraId="311CFDEB" w14:textId="3D56A937" w:rsidR="000765DD" w:rsidRPr="00512BE3" w:rsidRDefault="000765DD" w:rsidP="000765DD">
            <w:pPr>
              <w:jc w:val="center"/>
              <w:rPr>
                <w:sz w:val="18"/>
                <w:szCs w:val="20"/>
                <w:lang w:val="bs-Latn-BA"/>
              </w:rPr>
            </w:pPr>
            <w:r w:rsidRPr="00512BE3">
              <w:rPr>
                <w:sz w:val="18"/>
                <w:szCs w:val="20"/>
                <w:lang w:val="bs-Latn-BA"/>
              </w:rPr>
              <w:t>2 Izvještaj;</w:t>
            </w:r>
          </w:p>
        </w:tc>
        <w:tc>
          <w:tcPr>
            <w:tcW w:w="1510" w:type="dxa"/>
            <w:tcBorders>
              <w:top w:val="nil"/>
              <w:left w:val="nil"/>
              <w:bottom w:val="single" w:sz="8" w:space="0" w:color="auto"/>
              <w:right w:val="single" w:sz="8" w:space="0" w:color="auto"/>
            </w:tcBorders>
            <w:shd w:val="clear" w:color="auto" w:fill="auto"/>
            <w:vAlign w:val="center"/>
          </w:tcPr>
          <w:p w14:paraId="4045E24F" w14:textId="77777777" w:rsidR="000765DD" w:rsidRPr="00512BE3" w:rsidRDefault="000765DD" w:rsidP="003D2C74">
            <w:pPr>
              <w:jc w:val="right"/>
              <w:rPr>
                <w:sz w:val="18"/>
                <w:szCs w:val="20"/>
                <w:lang w:val="bs-Latn-BA"/>
              </w:rPr>
            </w:pPr>
            <w:r w:rsidRPr="00512BE3">
              <w:rPr>
                <w:sz w:val="18"/>
                <w:szCs w:val="20"/>
                <w:lang w:val="bs-Latn-BA"/>
              </w:rPr>
              <w:t>87.916,70</w:t>
            </w:r>
          </w:p>
        </w:tc>
      </w:tr>
      <w:tr w:rsidR="000765DD" w:rsidRPr="00512BE3" w14:paraId="7526E652" w14:textId="77777777" w:rsidTr="000765DD">
        <w:trPr>
          <w:trHeight w:val="457"/>
        </w:trPr>
        <w:tc>
          <w:tcPr>
            <w:tcW w:w="4820" w:type="dxa"/>
            <w:tcBorders>
              <w:top w:val="nil"/>
              <w:left w:val="single" w:sz="4" w:space="0" w:color="auto"/>
              <w:bottom w:val="single" w:sz="8" w:space="0" w:color="auto"/>
              <w:right w:val="single" w:sz="8" w:space="0" w:color="auto"/>
            </w:tcBorders>
            <w:shd w:val="clear" w:color="auto" w:fill="auto"/>
            <w:vAlign w:val="center"/>
          </w:tcPr>
          <w:p w14:paraId="696F5DF8" w14:textId="77777777" w:rsidR="000765DD" w:rsidRPr="00512BE3" w:rsidRDefault="000765DD" w:rsidP="003D2C74">
            <w:pPr>
              <w:rPr>
                <w:sz w:val="18"/>
                <w:szCs w:val="20"/>
                <w:lang w:val="bs-Latn-BA"/>
              </w:rPr>
            </w:pPr>
            <w:r w:rsidRPr="00512BE3">
              <w:rPr>
                <w:sz w:val="18"/>
                <w:szCs w:val="20"/>
                <w:lang w:val="bs-Latn-BA"/>
              </w:rPr>
              <w:t xml:space="preserve">Član 216. KZ BIH (Carinska prevara); Član 54. KZ BIH (Produženo krivično djelo) </w:t>
            </w:r>
          </w:p>
        </w:tc>
        <w:tc>
          <w:tcPr>
            <w:tcW w:w="2619" w:type="dxa"/>
            <w:tcBorders>
              <w:top w:val="nil"/>
              <w:left w:val="nil"/>
              <w:bottom w:val="single" w:sz="8" w:space="0" w:color="auto"/>
              <w:right w:val="single" w:sz="8" w:space="0" w:color="auto"/>
            </w:tcBorders>
            <w:shd w:val="clear" w:color="auto" w:fill="auto"/>
            <w:vAlign w:val="center"/>
          </w:tcPr>
          <w:p w14:paraId="7074F012" w14:textId="40A684E9" w:rsidR="000765DD" w:rsidRPr="00512BE3" w:rsidRDefault="000765DD" w:rsidP="000765DD">
            <w:pPr>
              <w:jc w:val="center"/>
              <w:rPr>
                <w:sz w:val="18"/>
                <w:szCs w:val="20"/>
                <w:lang w:val="bs-Latn-BA"/>
              </w:rPr>
            </w:pPr>
            <w:r w:rsidRPr="00512BE3">
              <w:rPr>
                <w:sz w:val="18"/>
                <w:szCs w:val="20"/>
                <w:lang w:val="bs-Latn-BA"/>
              </w:rPr>
              <w:t>1 Izvještaj;</w:t>
            </w:r>
          </w:p>
        </w:tc>
        <w:tc>
          <w:tcPr>
            <w:tcW w:w="1510" w:type="dxa"/>
            <w:tcBorders>
              <w:top w:val="nil"/>
              <w:left w:val="nil"/>
              <w:bottom w:val="single" w:sz="8" w:space="0" w:color="auto"/>
              <w:right w:val="single" w:sz="8" w:space="0" w:color="auto"/>
            </w:tcBorders>
            <w:shd w:val="clear" w:color="auto" w:fill="auto"/>
            <w:vAlign w:val="center"/>
          </w:tcPr>
          <w:p w14:paraId="512AE1D7" w14:textId="77777777" w:rsidR="000765DD" w:rsidRPr="00512BE3" w:rsidRDefault="000765DD" w:rsidP="003D2C74">
            <w:pPr>
              <w:jc w:val="right"/>
              <w:rPr>
                <w:sz w:val="18"/>
                <w:szCs w:val="20"/>
                <w:lang w:val="bs-Latn-BA"/>
              </w:rPr>
            </w:pPr>
            <w:r w:rsidRPr="00512BE3">
              <w:rPr>
                <w:sz w:val="18"/>
                <w:szCs w:val="20"/>
                <w:lang w:val="bs-Latn-BA"/>
              </w:rPr>
              <w:t>15.912,18</w:t>
            </w:r>
          </w:p>
        </w:tc>
      </w:tr>
      <w:tr w:rsidR="000765DD" w:rsidRPr="00512BE3" w14:paraId="1E42B806" w14:textId="77777777" w:rsidTr="000765DD">
        <w:trPr>
          <w:trHeight w:val="103"/>
        </w:trPr>
        <w:tc>
          <w:tcPr>
            <w:tcW w:w="4820" w:type="dxa"/>
            <w:tcBorders>
              <w:top w:val="single" w:sz="4" w:space="0" w:color="auto"/>
              <w:left w:val="single" w:sz="4" w:space="0" w:color="auto"/>
              <w:bottom w:val="single" w:sz="8" w:space="0" w:color="auto"/>
              <w:right w:val="single" w:sz="8" w:space="0" w:color="auto"/>
            </w:tcBorders>
            <w:shd w:val="clear" w:color="auto" w:fill="auto"/>
            <w:vAlign w:val="center"/>
          </w:tcPr>
          <w:p w14:paraId="7E74C0EA" w14:textId="77777777" w:rsidR="000765DD" w:rsidRPr="00512BE3" w:rsidRDefault="000765DD" w:rsidP="003D2C74">
            <w:pPr>
              <w:rPr>
                <w:sz w:val="18"/>
                <w:szCs w:val="20"/>
                <w:lang w:val="bs-Latn-BA"/>
              </w:rPr>
            </w:pPr>
            <w:r w:rsidRPr="00512BE3">
              <w:rPr>
                <w:sz w:val="18"/>
                <w:szCs w:val="20"/>
                <w:lang w:val="bs-Latn-BA"/>
              </w:rPr>
              <w:t xml:space="preserve">Član 220. KZ BIH (Zloupotreba položaja ili ovlaštanja); Član 226. KZ BIH (Krivotvorenje službene isprave) </w:t>
            </w:r>
          </w:p>
        </w:tc>
        <w:tc>
          <w:tcPr>
            <w:tcW w:w="2619" w:type="dxa"/>
            <w:tcBorders>
              <w:top w:val="single" w:sz="4" w:space="0" w:color="auto"/>
              <w:left w:val="nil"/>
              <w:bottom w:val="single" w:sz="8" w:space="0" w:color="auto"/>
              <w:right w:val="single" w:sz="8" w:space="0" w:color="auto"/>
            </w:tcBorders>
            <w:shd w:val="clear" w:color="auto" w:fill="auto"/>
            <w:vAlign w:val="center"/>
          </w:tcPr>
          <w:p w14:paraId="6019D568" w14:textId="4F45C7FE" w:rsidR="000765DD" w:rsidRPr="00512BE3" w:rsidRDefault="000765DD" w:rsidP="000765DD">
            <w:pPr>
              <w:jc w:val="center"/>
              <w:rPr>
                <w:sz w:val="18"/>
                <w:szCs w:val="20"/>
                <w:lang w:val="bs-Latn-BA"/>
              </w:rPr>
            </w:pPr>
            <w:r w:rsidRPr="00512BE3">
              <w:rPr>
                <w:sz w:val="18"/>
                <w:szCs w:val="20"/>
                <w:lang w:val="bs-Latn-BA"/>
              </w:rPr>
              <w:t>1 Izvještaj;</w:t>
            </w:r>
          </w:p>
        </w:tc>
        <w:tc>
          <w:tcPr>
            <w:tcW w:w="1510" w:type="dxa"/>
            <w:tcBorders>
              <w:top w:val="single" w:sz="4" w:space="0" w:color="auto"/>
              <w:left w:val="nil"/>
              <w:bottom w:val="single" w:sz="8" w:space="0" w:color="auto"/>
              <w:right w:val="single" w:sz="8" w:space="0" w:color="auto"/>
            </w:tcBorders>
            <w:shd w:val="clear" w:color="auto" w:fill="auto"/>
            <w:vAlign w:val="center"/>
          </w:tcPr>
          <w:p w14:paraId="5A1CCF1F" w14:textId="77777777" w:rsidR="000765DD" w:rsidRPr="00512BE3" w:rsidRDefault="000765DD" w:rsidP="003D2C74">
            <w:pPr>
              <w:jc w:val="right"/>
              <w:rPr>
                <w:sz w:val="18"/>
                <w:szCs w:val="20"/>
                <w:lang w:val="bs-Latn-BA"/>
              </w:rPr>
            </w:pPr>
            <w:r w:rsidRPr="00512BE3">
              <w:rPr>
                <w:sz w:val="18"/>
                <w:szCs w:val="20"/>
                <w:lang w:val="bs-Latn-BA"/>
              </w:rPr>
              <w:t>0,00</w:t>
            </w:r>
          </w:p>
        </w:tc>
      </w:tr>
      <w:tr w:rsidR="000765DD" w:rsidRPr="00512BE3" w14:paraId="5CD860E5" w14:textId="77777777" w:rsidTr="000765DD">
        <w:trPr>
          <w:trHeight w:val="267"/>
        </w:trPr>
        <w:tc>
          <w:tcPr>
            <w:tcW w:w="4820" w:type="dxa"/>
            <w:tcBorders>
              <w:top w:val="nil"/>
              <w:left w:val="single" w:sz="4" w:space="0" w:color="auto"/>
              <w:bottom w:val="single" w:sz="8" w:space="0" w:color="auto"/>
              <w:right w:val="single" w:sz="8" w:space="0" w:color="auto"/>
            </w:tcBorders>
            <w:shd w:val="clear" w:color="auto" w:fill="auto"/>
            <w:vAlign w:val="center"/>
          </w:tcPr>
          <w:p w14:paraId="40D042A7" w14:textId="77777777" w:rsidR="000765DD" w:rsidRPr="00512BE3" w:rsidRDefault="000765DD" w:rsidP="003D2C74">
            <w:pPr>
              <w:rPr>
                <w:sz w:val="18"/>
                <w:szCs w:val="20"/>
                <w:lang w:val="bs-Latn-BA"/>
              </w:rPr>
            </w:pPr>
            <w:r w:rsidRPr="00512BE3">
              <w:rPr>
                <w:sz w:val="18"/>
                <w:szCs w:val="20"/>
                <w:lang w:val="bs-Latn-BA"/>
              </w:rPr>
              <w:t xml:space="preserve">Član 248. KZ RS (Nezakonito postupanje u privrednom poslovanju) </w:t>
            </w:r>
          </w:p>
        </w:tc>
        <w:tc>
          <w:tcPr>
            <w:tcW w:w="2619" w:type="dxa"/>
            <w:tcBorders>
              <w:top w:val="nil"/>
              <w:left w:val="nil"/>
              <w:bottom w:val="single" w:sz="8" w:space="0" w:color="auto"/>
              <w:right w:val="single" w:sz="8" w:space="0" w:color="auto"/>
            </w:tcBorders>
            <w:shd w:val="clear" w:color="auto" w:fill="auto"/>
            <w:vAlign w:val="center"/>
          </w:tcPr>
          <w:p w14:paraId="1099C622" w14:textId="431643F3" w:rsidR="000765DD" w:rsidRPr="00512BE3" w:rsidRDefault="000765DD" w:rsidP="000765DD">
            <w:pPr>
              <w:jc w:val="center"/>
              <w:rPr>
                <w:sz w:val="18"/>
                <w:szCs w:val="20"/>
                <w:lang w:val="bs-Latn-BA"/>
              </w:rPr>
            </w:pPr>
            <w:r w:rsidRPr="00512BE3">
              <w:rPr>
                <w:sz w:val="18"/>
                <w:szCs w:val="20"/>
                <w:lang w:val="bs-Latn-BA"/>
              </w:rPr>
              <w:t>1 Informacija;</w:t>
            </w:r>
          </w:p>
        </w:tc>
        <w:tc>
          <w:tcPr>
            <w:tcW w:w="1510" w:type="dxa"/>
            <w:tcBorders>
              <w:top w:val="nil"/>
              <w:left w:val="nil"/>
              <w:bottom w:val="single" w:sz="8" w:space="0" w:color="auto"/>
              <w:right w:val="single" w:sz="8" w:space="0" w:color="auto"/>
            </w:tcBorders>
            <w:shd w:val="clear" w:color="auto" w:fill="auto"/>
            <w:vAlign w:val="center"/>
          </w:tcPr>
          <w:p w14:paraId="7652AD89" w14:textId="77777777" w:rsidR="000765DD" w:rsidRPr="00512BE3" w:rsidRDefault="000765DD" w:rsidP="003D2C74">
            <w:pPr>
              <w:jc w:val="right"/>
              <w:rPr>
                <w:sz w:val="18"/>
                <w:szCs w:val="20"/>
                <w:lang w:val="bs-Latn-BA"/>
              </w:rPr>
            </w:pPr>
            <w:r w:rsidRPr="00512BE3">
              <w:rPr>
                <w:sz w:val="18"/>
                <w:szCs w:val="20"/>
                <w:lang w:val="bs-Latn-BA"/>
              </w:rPr>
              <w:t>74.720,00</w:t>
            </w:r>
          </w:p>
        </w:tc>
      </w:tr>
      <w:tr w:rsidR="000765DD" w:rsidRPr="00512BE3" w14:paraId="7C8AD722" w14:textId="77777777" w:rsidTr="000765DD">
        <w:trPr>
          <w:trHeight w:val="396"/>
        </w:trPr>
        <w:tc>
          <w:tcPr>
            <w:tcW w:w="4820" w:type="dxa"/>
            <w:tcBorders>
              <w:top w:val="nil"/>
              <w:left w:val="single" w:sz="4" w:space="0" w:color="auto"/>
              <w:bottom w:val="single" w:sz="8" w:space="0" w:color="auto"/>
              <w:right w:val="single" w:sz="8" w:space="0" w:color="auto"/>
            </w:tcBorders>
            <w:shd w:val="clear" w:color="auto" w:fill="auto"/>
            <w:vAlign w:val="center"/>
          </w:tcPr>
          <w:p w14:paraId="43D6DB3B" w14:textId="77777777" w:rsidR="000765DD" w:rsidRPr="00512BE3" w:rsidRDefault="000765DD" w:rsidP="003D2C74">
            <w:pPr>
              <w:rPr>
                <w:sz w:val="18"/>
                <w:szCs w:val="20"/>
                <w:lang w:val="bs-Latn-BA"/>
              </w:rPr>
            </w:pPr>
            <w:r w:rsidRPr="00512BE3">
              <w:rPr>
                <w:sz w:val="18"/>
                <w:szCs w:val="20"/>
                <w:lang w:val="bs-Latn-BA"/>
              </w:rPr>
              <w:t xml:space="preserve">Član 251. KZ Federacije BiH (Prijevara u privrednom poslovanju) </w:t>
            </w:r>
          </w:p>
        </w:tc>
        <w:tc>
          <w:tcPr>
            <w:tcW w:w="2619" w:type="dxa"/>
            <w:tcBorders>
              <w:top w:val="nil"/>
              <w:left w:val="nil"/>
              <w:bottom w:val="single" w:sz="8" w:space="0" w:color="auto"/>
              <w:right w:val="single" w:sz="8" w:space="0" w:color="auto"/>
            </w:tcBorders>
            <w:shd w:val="clear" w:color="auto" w:fill="auto"/>
            <w:vAlign w:val="center"/>
          </w:tcPr>
          <w:p w14:paraId="24A52C32" w14:textId="4839919A" w:rsidR="000765DD" w:rsidRPr="00512BE3" w:rsidRDefault="000765DD" w:rsidP="000765DD">
            <w:pPr>
              <w:jc w:val="center"/>
              <w:rPr>
                <w:sz w:val="18"/>
                <w:szCs w:val="20"/>
                <w:lang w:val="bs-Latn-BA"/>
              </w:rPr>
            </w:pPr>
            <w:r w:rsidRPr="00512BE3">
              <w:rPr>
                <w:sz w:val="18"/>
                <w:szCs w:val="20"/>
                <w:lang w:val="bs-Latn-BA"/>
              </w:rPr>
              <w:t>1 Izvještaj; 3 Informacija;</w:t>
            </w:r>
          </w:p>
        </w:tc>
        <w:tc>
          <w:tcPr>
            <w:tcW w:w="1510" w:type="dxa"/>
            <w:tcBorders>
              <w:top w:val="nil"/>
              <w:left w:val="nil"/>
              <w:bottom w:val="single" w:sz="8" w:space="0" w:color="auto"/>
              <w:right w:val="single" w:sz="8" w:space="0" w:color="auto"/>
            </w:tcBorders>
            <w:shd w:val="clear" w:color="auto" w:fill="auto"/>
            <w:vAlign w:val="center"/>
          </w:tcPr>
          <w:p w14:paraId="6F9D31C2" w14:textId="77777777" w:rsidR="000765DD" w:rsidRPr="00512BE3" w:rsidRDefault="000765DD" w:rsidP="003D2C74">
            <w:pPr>
              <w:jc w:val="right"/>
              <w:rPr>
                <w:sz w:val="18"/>
                <w:szCs w:val="20"/>
                <w:lang w:val="bs-Latn-BA"/>
              </w:rPr>
            </w:pPr>
            <w:r w:rsidRPr="00512BE3">
              <w:rPr>
                <w:sz w:val="18"/>
                <w:szCs w:val="20"/>
                <w:lang w:val="bs-Latn-BA"/>
              </w:rPr>
              <w:t>150.030,00</w:t>
            </w:r>
          </w:p>
        </w:tc>
      </w:tr>
      <w:tr w:rsidR="000765DD" w:rsidRPr="00512BE3" w14:paraId="171E9739" w14:textId="77777777" w:rsidTr="000765DD">
        <w:trPr>
          <w:trHeight w:val="107"/>
        </w:trPr>
        <w:tc>
          <w:tcPr>
            <w:tcW w:w="4820" w:type="dxa"/>
            <w:tcBorders>
              <w:top w:val="nil"/>
              <w:left w:val="single" w:sz="4" w:space="0" w:color="auto"/>
              <w:bottom w:val="single" w:sz="8" w:space="0" w:color="auto"/>
              <w:right w:val="single" w:sz="8" w:space="0" w:color="auto"/>
            </w:tcBorders>
            <w:shd w:val="clear" w:color="auto" w:fill="auto"/>
            <w:vAlign w:val="center"/>
          </w:tcPr>
          <w:p w14:paraId="537B5AE6" w14:textId="77777777" w:rsidR="000765DD" w:rsidRPr="00512BE3" w:rsidRDefault="000765DD" w:rsidP="003D2C74">
            <w:pPr>
              <w:rPr>
                <w:sz w:val="18"/>
                <w:szCs w:val="20"/>
                <w:lang w:val="bs-Latn-BA"/>
              </w:rPr>
            </w:pPr>
            <w:r w:rsidRPr="00512BE3">
              <w:rPr>
                <w:sz w:val="18"/>
                <w:szCs w:val="20"/>
                <w:lang w:val="bs-Latn-BA"/>
              </w:rPr>
              <w:t xml:space="preserve">Član 31. KZ BIH (Pomaganje); Član 210. KZ BIH (Porezna utaja ili prevara) </w:t>
            </w:r>
          </w:p>
        </w:tc>
        <w:tc>
          <w:tcPr>
            <w:tcW w:w="2619" w:type="dxa"/>
            <w:tcBorders>
              <w:top w:val="nil"/>
              <w:left w:val="nil"/>
              <w:bottom w:val="single" w:sz="8" w:space="0" w:color="auto"/>
              <w:right w:val="single" w:sz="8" w:space="0" w:color="auto"/>
            </w:tcBorders>
            <w:shd w:val="clear" w:color="auto" w:fill="auto"/>
            <w:vAlign w:val="center"/>
          </w:tcPr>
          <w:p w14:paraId="3E5B1CB8" w14:textId="63938FFE" w:rsidR="000765DD" w:rsidRPr="00512BE3" w:rsidRDefault="000765DD" w:rsidP="000765DD">
            <w:pPr>
              <w:jc w:val="center"/>
              <w:rPr>
                <w:sz w:val="18"/>
                <w:szCs w:val="20"/>
                <w:lang w:val="bs-Latn-BA"/>
              </w:rPr>
            </w:pPr>
            <w:r w:rsidRPr="00512BE3">
              <w:rPr>
                <w:sz w:val="18"/>
                <w:szCs w:val="20"/>
                <w:lang w:val="bs-Latn-BA"/>
              </w:rPr>
              <w:t>2 Izvještaj;</w:t>
            </w:r>
          </w:p>
        </w:tc>
        <w:tc>
          <w:tcPr>
            <w:tcW w:w="1510" w:type="dxa"/>
            <w:tcBorders>
              <w:top w:val="nil"/>
              <w:left w:val="nil"/>
              <w:bottom w:val="single" w:sz="8" w:space="0" w:color="auto"/>
              <w:right w:val="single" w:sz="8" w:space="0" w:color="auto"/>
            </w:tcBorders>
            <w:shd w:val="clear" w:color="auto" w:fill="auto"/>
            <w:vAlign w:val="center"/>
          </w:tcPr>
          <w:p w14:paraId="48699FA7" w14:textId="77777777" w:rsidR="000765DD" w:rsidRPr="00512BE3" w:rsidRDefault="000765DD" w:rsidP="003D2C74">
            <w:pPr>
              <w:jc w:val="right"/>
              <w:rPr>
                <w:sz w:val="18"/>
                <w:szCs w:val="20"/>
                <w:lang w:val="bs-Latn-BA"/>
              </w:rPr>
            </w:pPr>
            <w:r w:rsidRPr="00512BE3">
              <w:rPr>
                <w:sz w:val="18"/>
                <w:szCs w:val="20"/>
                <w:lang w:val="bs-Latn-BA"/>
              </w:rPr>
              <w:t>1.140.747,74</w:t>
            </w:r>
          </w:p>
        </w:tc>
      </w:tr>
      <w:tr w:rsidR="000765DD" w:rsidRPr="00512BE3" w14:paraId="07A5EFC7" w14:textId="77777777" w:rsidTr="000765DD">
        <w:trPr>
          <w:trHeight w:val="588"/>
        </w:trPr>
        <w:tc>
          <w:tcPr>
            <w:tcW w:w="4820" w:type="dxa"/>
            <w:tcBorders>
              <w:top w:val="nil"/>
              <w:left w:val="single" w:sz="4" w:space="0" w:color="auto"/>
              <w:bottom w:val="single" w:sz="8" w:space="0" w:color="auto"/>
              <w:right w:val="single" w:sz="8" w:space="0" w:color="auto"/>
            </w:tcBorders>
            <w:shd w:val="clear" w:color="auto" w:fill="auto"/>
            <w:vAlign w:val="center"/>
          </w:tcPr>
          <w:p w14:paraId="7E7C11DF" w14:textId="77777777" w:rsidR="000765DD" w:rsidRPr="00512BE3" w:rsidRDefault="000765DD" w:rsidP="003D2C74">
            <w:pPr>
              <w:rPr>
                <w:sz w:val="18"/>
                <w:szCs w:val="20"/>
                <w:lang w:val="bs-Latn-BA"/>
              </w:rPr>
            </w:pPr>
            <w:r w:rsidRPr="00512BE3">
              <w:rPr>
                <w:sz w:val="18"/>
                <w:szCs w:val="20"/>
                <w:lang w:val="bs-Latn-BA"/>
              </w:rPr>
              <w:t xml:space="preserve">Član 373. KZ FBiH (Krivotvorenje isprava ); Član 374. KZ FBiH (Posebni slučajevi krivotvorenja isprava); Član 209. KZ BIH (Pranje novca ); Član 210. KZ BIH (Porezna utaja ili prevara) </w:t>
            </w:r>
          </w:p>
        </w:tc>
        <w:tc>
          <w:tcPr>
            <w:tcW w:w="2619" w:type="dxa"/>
            <w:tcBorders>
              <w:top w:val="nil"/>
              <w:left w:val="nil"/>
              <w:bottom w:val="single" w:sz="8" w:space="0" w:color="auto"/>
              <w:right w:val="single" w:sz="8" w:space="0" w:color="auto"/>
            </w:tcBorders>
            <w:shd w:val="clear" w:color="auto" w:fill="auto"/>
            <w:vAlign w:val="center"/>
          </w:tcPr>
          <w:p w14:paraId="78C69BE2" w14:textId="2F07F551" w:rsidR="000765DD" w:rsidRPr="00512BE3" w:rsidRDefault="000765DD" w:rsidP="000765DD">
            <w:pPr>
              <w:jc w:val="center"/>
              <w:rPr>
                <w:sz w:val="18"/>
                <w:szCs w:val="20"/>
                <w:lang w:val="bs-Latn-BA"/>
              </w:rPr>
            </w:pPr>
            <w:r w:rsidRPr="00512BE3">
              <w:rPr>
                <w:sz w:val="18"/>
                <w:szCs w:val="20"/>
                <w:lang w:val="bs-Latn-BA"/>
              </w:rPr>
              <w:t>1 Informacija;</w:t>
            </w:r>
          </w:p>
        </w:tc>
        <w:tc>
          <w:tcPr>
            <w:tcW w:w="1510" w:type="dxa"/>
            <w:tcBorders>
              <w:top w:val="nil"/>
              <w:left w:val="nil"/>
              <w:bottom w:val="single" w:sz="8" w:space="0" w:color="auto"/>
              <w:right w:val="single" w:sz="8" w:space="0" w:color="auto"/>
            </w:tcBorders>
            <w:shd w:val="clear" w:color="auto" w:fill="auto"/>
            <w:vAlign w:val="center"/>
          </w:tcPr>
          <w:p w14:paraId="76572150" w14:textId="77777777" w:rsidR="000765DD" w:rsidRPr="00512BE3" w:rsidRDefault="000765DD" w:rsidP="003D2C74">
            <w:pPr>
              <w:jc w:val="right"/>
              <w:rPr>
                <w:sz w:val="18"/>
                <w:szCs w:val="20"/>
                <w:lang w:val="bs-Latn-BA"/>
              </w:rPr>
            </w:pPr>
            <w:r w:rsidRPr="00512BE3">
              <w:rPr>
                <w:sz w:val="18"/>
                <w:szCs w:val="20"/>
                <w:lang w:val="bs-Latn-BA"/>
              </w:rPr>
              <w:t>329.651,00</w:t>
            </w:r>
          </w:p>
        </w:tc>
      </w:tr>
      <w:tr w:rsidR="000765DD" w:rsidRPr="00512BE3" w14:paraId="22BAD66D" w14:textId="77777777" w:rsidTr="000765DD">
        <w:trPr>
          <w:trHeight w:val="274"/>
        </w:trPr>
        <w:tc>
          <w:tcPr>
            <w:tcW w:w="4820" w:type="dxa"/>
            <w:tcBorders>
              <w:top w:val="nil"/>
              <w:left w:val="single" w:sz="4" w:space="0" w:color="auto"/>
              <w:bottom w:val="single" w:sz="8" w:space="0" w:color="auto"/>
              <w:right w:val="single" w:sz="8" w:space="0" w:color="auto"/>
            </w:tcBorders>
            <w:shd w:val="clear" w:color="auto" w:fill="auto"/>
            <w:vAlign w:val="center"/>
          </w:tcPr>
          <w:p w14:paraId="1F273772" w14:textId="77777777" w:rsidR="000765DD" w:rsidRPr="00512BE3" w:rsidRDefault="000765DD" w:rsidP="003D2C74">
            <w:pPr>
              <w:rPr>
                <w:sz w:val="18"/>
                <w:szCs w:val="20"/>
                <w:lang w:val="bs-Latn-BA"/>
              </w:rPr>
            </w:pPr>
            <w:r w:rsidRPr="00512BE3">
              <w:rPr>
                <w:sz w:val="18"/>
                <w:szCs w:val="20"/>
                <w:lang w:val="bs-Latn-BA"/>
              </w:rPr>
              <w:t xml:space="preserve">Član 54. KZ BIH (Produženo krivično djelo); Član 210. KZ BIH (Porezna utaja ili prevara) </w:t>
            </w:r>
          </w:p>
        </w:tc>
        <w:tc>
          <w:tcPr>
            <w:tcW w:w="2619" w:type="dxa"/>
            <w:tcBorders>
              <w:top w:val="nil"/>
              <w:left w:val="nil"/>
              <w:bottom w:val="single" w:sz="8" w:space="0" w:color="auto"/>
              <w:right w:val="single" w:sz="8" w:space="0" w:color="auto"/>
            </w:tcBorders>
            <w:shd w:val="clear" w:color="auto" w:fill="auto"/>
            <w:vAlign w:val="center"/>
          </w:tcPr>
          <w:p w14:paraId="3E86CC6F" w14:textId="5F5AE96F" w:rsidR="000765DD" w:rsidRPr="00512BE3" w:rsidRDefault="000765DD" w:rsidP="000765DD">
            <w:pPr>
              <w:jc w:val="center"/>
              <w:rPr>
                <w:sz w:val="18"/>
                <w:szCs w:val="20"/>
                <w:lang w:val="bs-Latn-BA"/>
              </w:rPr>
            </w:pPr>
            <w:r w:rsidRPr="00512BE3">
              <w:rPr>
                <w:sz w:val="18"/>
                <w:szCs w:val="20"/>
                <w:lang w:val="bs-Latn-BA"/>
              </w:rPr>
              <w:t>1 Izvještaj;</w:t>
            </w:r>
          </w:p>
        </w:tc>
        <w:tc>
          <w:tcPr>
            <w:tcW w:w="1510" w:type="dxa"/>
            <w:tcBorders>
              <w:top w:val="nil"/>
              <w:left w:val="nil"/>
              <w:bottom w:val="single" w:sz="8" w:space="0" w:color="auto"/>
              <w:right w:val="single" w:sz="8" w:space="0" w:color="auto"/>
            </w:tcBorders>
            <w:shd w:val="clear" w:color="auto" w:fill="auto"/>
            <w:vAlign w:val="center"/>
          </w:tcPr>
          <w:p w14:paraId="545D84C2" w14:textId="77777777" w:rsidR="000765DD" w:rsidRPr="00512BE3" w:rsidRDefault="000765DD" w:rsidP="003D2C74">
            <w:pPr>
              <w:jc w:val="right"/>
              <w:rPr>
                <w:sz w:val="18"/>
                <w:szCs w:val="20"/>
                <w:lang w:val="bs-Latn-BA"/>
              </w:rPr>
            </w:pPr>
            <w:r w:rsidRPr="00512BE3">
              <w:rPr>
                <w:sz w:val="18"/>
                <w:szCs w:val="20"/>
                <w:lang w:val="bs-Latn-BA"/>
              </w:rPr>
              <w:t>125.539,00</w:t>
            </w:r>
          </w:p>
        </w:tc>
      </w:tr>
    </w:tbl>
    <w:p w14:paraId="4EC297A0" w14:textId="77777777" w:rsidR="002722B0" w:rsidRDefault="002722B0" w:rsidP="00240271">
      <w:pPr>
        <w:tabs>
          <w:tab w:val="left" w:pos="567"/>
          <w:tab w:val="left" w:pos="851"/>
          <w:tab w:val="left" w:pos="7380"/>
        </w:tabs>
        <w:ind w:right="33"/>
        <w:jc w:val="both"/>
        <w:rPr>
          <w:sz w:val="22"/>
          <w:szCs w:val="22"/>
        </w:rPr>
      </w:pPr>
    </w:p>
    <w:p w14:paraId="4618731A" w14:textId="0A3FDB09" w:rsidR="00240271" w:rsidRPr="00512BE3" w:rsidRDefault="003D2C74" w:rsidP="00240271">
      <w:pPr>
        <w:tabs>
          <w:tab w:val="left" w:pos="567"/>
          <w:tab w:val="left" w:pos="851"/>
          <w:tab w:val="left" w:pos="7380"/>
        </w:tabs>
        <w:ind w:right="33"/>
        <w:jc w:val="both"/>
        <w:rPr>
          <w:sz w:val="22"/>
          <w:szCs w:val="22"/>
        </w:rPr>
      </w:pPr>
      <w:r w:rsidRPr="00512BE3">
        <w:rPr>
          <w:sz w:val="22"/>
          <w:szCs w:val="22"/>
        </w:rPr>
        <w:t xml:space="preserve">Analizirajući prijavljena krivična djela po njihovoj kvalifikaciji, tokom 2022. godine, uočeno je da se najviše upućenih prijava nadležnim tužilaštvima odnosi na krivično djelo „Poreska utaja ili prevara“ iz člana 210. KZ BiH, i to 44 prijave (26 izvještaja, 17 informacija i 1 dopuna) sa prijavljenim iznosom štete od 8.429.734,17 KM (prijavljena samostalno ili u vezi sa drugim krivičnim djelima), te na krivično djelo „Nedozvoljen promet akciznih proizvoda“ iz člana 210a. KZ BiH i to 17 prijava (11 izvještaja, 4 informacije i 2 dopune) sa prijavljenim iznosom štete od 47.994.471,37 KM (prijavljena samostalno ili u vezi sa drugim krivičnim djelima). Takođe je bitno istaći da je u 2022. godini </w:t>
      </w:r>
      <w:r w:rsidRPr="001A2DBA">
        <w:rPr>
          <w:sz w:val="22"/>
          <w:szCs w:val="22"/>
        </w:rPr>
        <w:t xml:space="preserve">podnesen i </w:t>
      </w:r>
      <w:r w:rsidR="00197657" w:rsidRPr="001A2DBA">
        <w:rPr>
          <w:sz w:val="22"/>
          <w:szCs w:val="22"/>
        </w:rPr>
        <w:t>jedan</w:t>
      </w:r>
      <w:r w:rsidRPr="00197657">
        <w:rPr>
          <w:sz w:val="22"/>
          <w:szCs w:val="22"/>
        </w:rPr>
        <w:t xml:space="preserve"> </w:t>
      </w:r>
      <w:r w:rsidRPr="00512BE3">
        <w:rPr>
          <w:sz w:val="22"/>
          <w:szCs w:val="22"/>
        </w:rPr>
        <w:t>izvještaj koje se odnosi na krivična djela iz glave XIX Krivičnog zakona BiH, odnosno krivična djela korupcije i krivična djela protiv službene i druge odgovorne dužnosti</w:t>
      </w:r>
      <w:r w:rsidR="00200968" w:rsidRPr="00512BE3">
        <w:rPr>
          <w:sz w:val="22"/>
          <w:szCs w:val="22"/>
        </w:rPr>
        <w:t>.</w:t>
      </w:r>
      <w:r w:rsidR="00240271" w:rsidRPr="00512BE3">
        <w:rPr>
          <w:sz w:val="22"/>
          <w:szCs w:val="22"/>
          <w:lang w:val="bs-Latn-BA"/>
        </w:rPr>
        <w:t xml:space="preserve"> </w:t>
      </w:r>
      <w:r w:rsidR="00D74220" w:rsidRPr="00512BE3">
        <w:rPr>
          <w:sz w:val="22"/>
          <w:szCs w:val="22"/>
          <w:lang w:val="bs-Latn-BA"/>
        </w:rPr>
        <w:t>U</w:t>
      </w:r>
      <w:r w:rsidR="00614A4C" w:rsidRPr="00512BE3">
        <w:rPr>
          <w:sz w:val="22"/>
          <w:szCs w:val="22"/>
          <w:lang w:val="bs-Latn-BA"/>
        </w:rPr>
        <w:t xml:space="preserve"> 2022</w:t>
      </w:r>
      <w:r w:rsidR="00D74220" w:rsidRPr="00512BE3">
        <w:rPr>
          <w:sz w:val="22"/>
          <w:szCs w:val="22"/>
          <w:lang w:val="bs-Latn-BA"/>
        </w:rPr>
        <w:t xml:space="preserve">. godini, po prijavama organizacionih jedinica za istrage koje su podnesene nadležnim tužilaštvima, od </w:t>
      </w:r>
      <w:r w:rsidR="00240271" w:rsidRPr="00512BE3">
        <w:rPr>
          <w:sz w:val="22"/>
          <w:szCs w:val="22"/>
          <w:lang w:val="bs-Latn-BA"/>
        </w:rPr>
        <w:t>strane nadležnih sudova doneseno</w:t>
      </w:r>
      <w:r w:rsidR="00D74220" w:rsidRPr="00512BE3">
        <w:rPr>
          <w:sz w:val="22"/>
          <w:szCs w:val="22"/>
          <w:lang w:val="bs-Latn-BA"/>
        </w:rPr>
        <w:t xml:space="preserve"> </w:t>
      </w:r>
      <w:r w:rsidR="00614A4C" w:rsidRPr="00512BE3">
        <w:rPr>
          <w:sz w:val="22"/>
          <w:szCs w:val="22"/>
          <w:lang w:val="bs-Latn-BA"/>
        </w:rPr>
        <w:t>je</w:t>
      </w:r>
      <w:r w:rsidR="002F31AF" w:rsidRPr="00512BE3">
        <w:rPr>
          <w:sz w:val="22"/>
          <w:szCs w:val="22"/>
          <w:lang w:val="bs-Latn-BA"/>
        </w:rPr>
        <w:t xml:space="preserve"> </w:t>
      </w:r>
      <w:r w:rsidR="00D74220" w:rsidRPr="00512BE3">
        <w:rPr>
          <w:sz w:val="22"/>
          <w:szCs w:val="22"/>
          <w:lang w:val="bs-Latn-BA"/>
        </w:rPr>
        <w:t>2</w:t>
      </w:r>
      <w:r w:rsidR="00614A4C" w:rsidRPr="00512BE3">
        <w:rPr>
          <w:sz w:val="22"/>
          <w:szCs w:val="22"/>
          <w:lang w:val="bs-Latn-BA"/>
        </w:rPr>
        <w:t>7 presuda</w:t>
      </w:r>
      <w:r w:rsidR="00D74220" w:rsidRPr="00512BE3">
        <w:rPr>
          <w:sz w:val="22"/>
          <w:szCs w:val="22"/>
          <w:lang w:val="bs-Latn-BA"/>
        </w:rPr>
        <w:t xml:space="preserve">. </w:t>
      </w:r>
    </w:p>
    <w:p w14:paraId="0AD9DAFE" w14:textId="25444A3A" w:rsidR="003A7419" w:rsidRPr="00512BE3" w:rsidRDefault="002722B0" w:rsidP="005C34D4">
      <w:pPr>
        <w:tabs>
          <w:tab w:val="left" w:pos="567"/>
          <w:tab w:val="left" w:pos="851"/>
          <w:tab w:val="left" w:pos="7380"/>
        </w:tabs>
        <w:ind w:right="34"/>
        <w:jc w:val="both"/>
        <w:rPr>
          <w:sz w:val="22"/>
          <w:szCs w:val="22"/>
          <w:lang w:val="bs-Latn-BA"/>
        </w:rPr>
      </w:pPr>
      <w:r>
        <w:rPr>
          <w:sz w:val="22"/>
          <w:lang w:val="bs-Latn-BA" w:eastAsia="en-US"/>
        </w:rPr>
        <w:tab/>
      </w:r>
      <w:r w:rsidR="001E1E43" w:rsidRPr="00512BE3">
        <w:rPr>
          <w:sz w:val="22"/>
          <w:lang w:val="bs-Latn-BA" w:eastAsia="en-US"/>
        </w:rPr>
        <w:t xml:space="preserve">Od najvažnijih aktivnosti grupa i odsjeka za istage, </w:t>
      </w:r>
      <w:r w:rsidR="003342B6" w:rsidRPr="00512BE3">
        <w:rPr>
          <w:sz w:val="22"/>
          <w:szCs w:val="22"/>
          <w:lang w:val="bs-Latn-BA"/>
        </w:rPr>
        <w:t xml:space="preserve">treba istaći rad </w:t>
      </w:r>
      <w:r w:rsidR="005B4DC8" w:rsidRPr="00512BE3">
        <w:rPr>
          <w:sz w:val="22"/>
          <w:szCs w:val="22"/>
          <w:lang w:val="bs-Latn-BA"/>
        </w:rPr>
        <w:t>na predmetu MDM GENERAL COMPANY d.o.o. Brčko gdje je analitičko-operativnim i istražnim radom obuhvaćen promet duhana i duhanskih proizvoda, a iz opisanih radnji i prometa proizilaze osnovi sumnje o počinjenim krivičnim djelima „Pranje novca“ iz čl. 209., „Nedozvoljen promet akciznih proizvoda“ iz čl. 210a., te „Nedozvoljena trgovina“ iz čl. 212. KZ BiH, u ukupnoj količini od 107.907 kg nabavne vrijednosti od 769.462,00 KM, i pri čemu je Budžet BiH oštećen za 10.620.376,00 KM po osnovu neplaćene akcize. Takođe, i protiv sljedećih pravnih lica je dostavljena prijava Tužilaštvu BiH o postojanju osnova sumnje o počinjenim gore navedenim krivičnim djelima: protiv pravnog lica IMPERA ELEKTORNIK d.o.o. Brčko sa ukupnim prijavljanim iznosom štete 17.240.438,00 KM, protiv pravnog lica TRGO-TERM d.o.o. Brčko sa ukupnim prijavljanim iznosom štete 9.493.870,00 KM i protiv pravnog lica ŠKROBO d.o.o. Ljubuški sa ukupnim prijavljanim iznosom štete 3.288.467,20 KM</w:t>
      </w:r>
      <w:r w:rsidR="003342B6" w:rsidRPr="00512BE3">
        <w:rPr>
          <w:sz w:val="22"/>
          <w:szCs w:val="22"/>
          <w:lang w:val="bs-Latn-BA"/>
        </w:rPr>
        <w:t xml:space="preserve">. </w:t>
      </w:r>
      <w:r w:rsidR="00C063A7" w:rsidRPr="00512BE3">
        <w:rPr>
          <w:sz w:val="22"/>
          <w:szCs w:val="22"/>
          <w:lang w:val="bs-Latn-BA"/>
        </w:rPr>
        <w:t>T</w:t>
      </w:r>
      <w:r w:rsidR="003342B6" w:rsidRPr="00512BE3">
        <w:rPr>
          <w:sz w:val="22"/>
          <w:szCs w:val="22"/>
          <w:lang w:val="bs-Latn-BA"/>
        </w:rPr>
        <w:t>reba istaći i rad na predmet</w:t>
      </w:r>
      <w:r w:rsidR="005B4DC8" w:rsidRPr="00512BE3">
        <w:rPr>
          <w:sz w:val="22"/>
          <w:szCs w:val="22"/>
          <w:lang w:val="bs-Latn-BA"/>
        </w:rPr>
        <w:t>ima</w:t>
      </w:r>
      <w:r w:rsidR="003342B6" w:rsidRPr="00512BE3">
        <w:rPr>
          <w:sz w:val="22"/>
          <w:szCs w:val="22"/>
          <w:lang w:val="bs-Latn-BA"/>
        </w:rPr>
        <w:t xml:space="preserve"> </w:t>
      </w:r>
      <w:r w:rsidR="007D51CB" w:rsidRPr="00512BE3">
        <w:rPr>
          <w:sz w:val="22"/>
          <w:szCs w:val="22"/>
          <w:lang w:val="bs-Latn-BA"/>
        </w:rPr>
        <w:t>„ELDA“ d.o.o. Bijeljina sa ukupnim prijavljenim iznosom štete po Budžet BiH od 244.054,81, zatim „BISTRIK“ d.o.o. Bijeljina sa ukupnim prijavljenim iznosom štete po Budžet BiH od 397.890,61 KM, te „PAINT MIX“ d.o.o. Tuzla sa ukupnim prijavljenim iznosom štete po Budžet BiH od 134.401,58 KM (postojanje osnova sumnje o počinjenom krivičnom djelu „Poreska utaja ili prevara“ iz člana 210. KZ BiH)</w:t>
      </w:r>
      <w:r w:rsidR="001930E4" w:rsidRPr="00512BE3">
        <w:rPr>
          <w:sz w:val="22"/>
          <w:szCs w:val="22"/>
          <w:lang w:val="bs-Latn-BA"/>
        </w:rPr>
        <w:t xml:space="preserve">. </w:t>
      </w:r>
      <w:r w:rsidR="005B0B60" w:rsidRPr="00512BE3">
        <w:rPr>
          <w:sz w:val="22"/>
          <w:szCs w:val="22"/>
          <w:lang w:val="bs-Latn-BA"/>
        </w:rPr>
        <w:t xml:space="preserve">Isto tako treba istaći i rad u predmetima u kojima je podnesen Izvještaj Tužilaštvu BiH o postojanju osnova sumnje na počinjenje krivičnog djela „Poreska utaja ili prevara“ iz član 210. Krivičnog zakona BiH; AMINA TRADE društvo za promet goriva, maziva i auto dijelova d.o.o. Sarajevo sa ukupnim prijavljenim iznosom štete po Budžet BiH od 898.609,84 KM, zatim predmet SEMERKAND d.o.o. Sarajevo </w:t>
      </w:r>
      <w:r w:rsidR="00BA2EE7" w:rsidRPr="00512BE3">
        <w:rPr>
          <w:sz w:val="22"/>
          <w:szCs w:val="22"/>
          <w:lang w:val="bs-Latn-BA"/>
        </w:rPr>
        <w:t>- iznos</w:t>
      </w:r>
      <w:r w:rsidR="005B0B60" w:rsidRPr="00512BE3">
        <w:rPr>
          <w:sz w:val="22"/>
          <w:szCs w:val="22"/>
          <w:lang w:val="bs-Latn-BA"/>
        </w:rPr>
        <w:t xml:space="preserve"> štete po Budžet BiH od 960.790,00 KM, zatim predmet ALZAROONI d.o.o. Sarajevo </w:t>
      </w:r>
      <w:r w:rsidR="00BA2EE7" w:rsidRPr="00512BE3">
        <w:rPr>
          <w:sz w:val="22"/>
          <w:szCs w:val="22"/>
          <w:lang w:val="bs-Latn-BA"/>
        </w:rPr>
        <w:t>- iznos</w:t>
      </w:r>
      <w:r w:rsidR="005B0B60" w:rsidRPr="00512BE3">
        <w:rPr>
          <w:sz w:val="22"/>
          <w:szCs w:val="22"/>
          <w:lang w:val="bs-Latn-BA"/>
        </w:rPr>
        <w:t xml:space="preserve"> štete po Budžet BiH od 579.916,00 KM</w:t>
      </w:r>
      <w:r w:rsidR="00BA2EE7" w:rsidRPr="00512BE3">
        <w:rPr>
          <w:sz w:val="22"/>
          <w:szCs w:val="22"/>
          <w:lang w:val="bs-Latn-BA"/>
        </w:rPr>
        <w:t>, zatim predmet ”KAFEN“ d.o.o. Velika Kladuša iznos štete po Budžet BiH od 226.808,00 KM, te predmet „ArcelorMittal” d.o.o. Prijedor - iznosom štete po Budžet BiH od 1.275.090,00 KM</w:t>
      </w:r>
      <w:r w:rsidR="005B0B60" w:rsidRPr="00512BE3">
        <w:rPr>
          <w:sz w:val="22"/>
          <w:szCs w:val="22"/>
          <w:lang w:val="bs-Latn-BA"/>
        </w:rPr>
        <w:t xml:space="preserve">. </w:t>
      </w:r>
      <w:r w:rsidR="00C063A7" w:rsidRPr="00512BE3">
        <w:rPr>
          <w:sz w:val="22"/>
          <w:szCs w:val="22"/>
          <w:lang w:val="bs-Latn-BA"/>
        </w:rPr>
        <w:t>Po podnesenim prijavama nadležnim tužilaštvima donesene su i presude sa izrečenim novčanim kaznama, kaznama zatvora i uslovnim osudama, te oduzimanjem imovinske korisiti pribavljene krivičnim djelom, a p</w:t>
      </w:r>
      <w:r w:rsidR="00614A4C" w:rsidRPr="00512BE3">
        <w:rPr>
          <w:sz w:val="22"/>
          <w:szCs w:val="22"/>
          <w:lang w:val="bs-Latn-BA"/>
        </w:rPr>
        <w:t>osebno</w:t>
      </w:r>
      <w:r w:rsidR="00C063A7" w:rsidRPr="00512BE3">
        <w:rPr>
          <w:sz w:val="22"/>
          <w:szCs w:val="22"/>
          <w:lang w:val="bs-Latn-BA"/>
        </w:rPr>
        <w:t xml:space="preserve"> se izdvaja prvostepena</w:t>
      </w:r>
      <w:r w:rsidR="00614A4C" w:rsidRPr="00512BE3">
        <w:rPr>
          <w:sz w:val="22"/>
          <w:szCs w:val="22"/>
          <w:lang w:val="bs-Latn-BA"/>
        </w:rPr>
        <w:t xml:space="preserve"> presudu Suda BiH u predmetu Ekrem Gonjanin i dr., kojom su optuženi Ekrem Gonjanin i Armin Poplata (optužena pravna lica „Alper trade“ d.o.o. Dubrave Brčko distrikt i „Arbelšped“ d.o.o. Sarajevo) oglašeni krivim za počinjenje krivičnog djela „Organizirani kriminal“ iz člana 250. u vezi s krivičnim djelom „Porezna utaja ili prevara“ iz člana 210. KZ BiH. Sud je optuženom Ekremu Gonjaninu izrekao kaznu zatvora u trajanju od šest (6) godina, a optuženom Arminu Poplati kaznu zatvora u trajanju od dvije (2) godine i šest (6) mjeseci. Optuženom pravnom licu „Alper trade“ d.o.o. Dubrave, Brčko distrikt izrečena je novčana kazna u iznosu od 100.000,00 KM (sto hiljada konvertibilnih maraka), a pravnom licu „Arbelšped“ d.o.o. Sarajevo novčana kazna u iznosu od 20.000,00 KM (dvadeset hiljada konvertibilnih maraka), te je oduzeta imovinska korist pribavljena krivičnim djelom.</w:t>
      </w:r>
      <w:r w:rsidR="001736CE" w:rsidRPr="00512BE3">
        <w:t xml:space="preserve"> Takođe </w:t>
      </w:r>
      <w:r w:rsidR="001736CE" w:rsidRPr="00512BE3">
        <w:rPr>
          <w:sz w:val="22"/>
          <w:szCs w:val="22"/>
          <w:lang w:val="bs-Latn-BA"/>
        </w:rPr>
        <w:t>u predmetu GLOBEX TABAK d.o.o. Banja Luka optuženi su proglašeni krivima, te osuđeni na jedinstvene kazne zatvora i novčane kazne, a koja presuda je postala pravosnažna 07.01.2022. godine, a isto tako je u predmetu SIMA d.o.o. Aleksandrovac podignuta optužnica, koja je i potvrđena od strane Suda BiH na iznos od 2.758.558,00 KM.</w:t>
      </w:r>
    </w:p>
    <w:p w14:paraId="62B3063B" w14:textId="77777777" w:rsidR="009C2AF7" w:rsidRPr="00512BE3" w:rsidRDefault="009C2AF7" w:rsidP="00200968">
      <w:pPr>
        <w:spacing w:after="60"/>
        <w:ind w:firstLine="709"/>
        <w:jc w:val="both"/>
        <w:rPr>
          <w:sz w:val="22"/>
          <w:szCs w:val="22"/>
        </w:rPr>
      </w:pPr>
    </w:p>
    <w:p w14:paraId="0902FBF9" w14:textId="5ECF2B3E" w:rsidR="006C3645" w:rsidRPr="00512BE3" w:rsidRDefault="009F57EA" w:rsidP="007B6CB6">
      <w:pPr>
        <w:pStyle w:val="Heading1"/>
        <w:spacing w:before="0"/>
        <w:ind w:left="431" w:hanging="431"/>
        <w:rPr>
          <w:lang w:val="bs-Latn-BA"/>
        </w:rPr>
      </w:pPr>
      <w:bookmarkStart w:id="30" w:name="_Toc95294157"/>
      <w:r w:rsidRPr="00512BE3">
        <w:rPr>
          <w:lang w:val="bs-Latn-BA"/>
        </w:rPr>
        <w:t>P</w:t>
      </w:r>
      <w:r w:rsidR="000B787D" w:rsidRPr="00512BE3">
        <w:rPr>
          <w:lang w:val="bs-Latn-BA"/>
        </w:rPr>
        <w:t>ORESKI POSTUPAK</w:t>
      </w:r>
      <w:bookmarkEnd w:id="30"/>
    </w:p>
    <w:p w14:paraId="4CBAC443" w14:textId="77777777" w:rsidR="007B6CB6" w:rsidRPr="00512BE3" w:rsidRDefault="007B6CB6" w:rsidP="007B6CB6">
      <w:pPr>
        <w:rPr>
          <w:lang w:val="bs-Latn-BA"/>
        </w:rPr>
      </w:pPr>
    </w:p>
    <w:p w14:paraId="52894092" w14:textId="583F6661" w:rsidR="00564E34" w:rsidRPr="00512BE3" w:rsidRDefault="00564E34" w:rsidP="007B6CB6">
      <w:pPr>
        <w:pStyle w:val="BodyText"/>
        <w:spacing w:after="0"/>
        <w:ind w:firstLine="431"/>
        <w:jc w:val="both"/>
        <w:rPr>
          <w:sz w:val="22"/>
          <w:szCs w:val="22"/>
          <w:lang w:val="sr-Latn-BA"/>
        </w:rPr>
      </w:pPr>
      <w:r w:rsidRPr="00512BE3">
        <w:rPr>
          <w:sz w:val="22"/>
          <w:szCs w:val="22"/>
          <w:lang w:val="bs-Latn-BA"/>
        </w:rPr>
        <w:t>Aktivnosti koje su u oblasti poreza realizovane u</w:t>
      </w:r>
      <w:r w:rsidR="00053EBE" w:rsidRPr="00512BE3">
        <w:rPr>
          <w:sz w:val="22"/>
          <w:szCs w:val="22"/>
          <w:lang w:val="bs-Latn-BA"/>
        </w:rPr>
        <w:t xml:space="preserve"> 2022. godini</w:t>
      </w:r>
      <w:r w:rsidRPr="00512BE3">
        <w:rPr>
          <w:sz w:val="22"/>
          <w:szCs w:val="22"/>
          <w:lang w:val="bs-Latn-BA"/>
        </w:rPr>
        <w:t xml:space="preserve">, preduzimane su u oblasti pružanja podrške poreskim obveznicima i odnosile su se na registraciju i upis u Jedinstveni registar obveznika indirektnih poreza, izmjenu podataka, provođenje postupka prestanka registracije i brisanje iz Jedinstvenog registra, te provođenje postupka priznavanja prava na paušalnu naknadu, povrata plaćene akcize na lož ulje, alkohol i etil alkohol. </w:t>
      </w:r>
      <w:r w:rsidR="00053EBE" w:rsidRPr="00512BE3">
        <w:rPr>
          <w:sz w:val="22"/>
          <w:szCs w:val="22"/>
          <w:lang w:val="sr-Latn-BA"/>
        </w:rPr>
        <w:t xml:space="preserve">Provođenjem naprijed navedenih aktivnosti u 2022. godini </w:t>
      </w:r>
      <w:r w:rsidR="00053EBE" w:rsidRPr="00512BE3">
        <w:rPr>
          <w:sz w:val="22"/>
          <w:szCs w:val="22"/>
          <w:lang w:val="sr-Latn-BA"/>
        </w:rPr>
        <w:lastRenderedPageBreak/>
        <w:t>riješeno je ukupno 14.694 predmeta u prvostepenom upravnom postupku. Najznačajniji dio riješenih predmeta u navedenom periodu odnosi se na provedene postupke registracije i upisa u Jedinstveni registar (5.206 - što je za 998 predmeta više u odnosu na 2021.godinu) i zahtjeve za povrat plaćene akcize na lož ulje (3.823). Iznos povrata akcize plaćene na lož ulje, alkohol i etil alkohol prema donesenim rješenjima u periodu od 01.01. do 31.12.2022. godine iznosi 11.148.740,56 KM i isti je veći za 493.613,27 KM u odnosu na iznos povrata akcize u  2021. godini.</w:t>
      </w:r>
      <w:r w:rsidR="00722143" w:rsidRPr="00512BE3">
        <w:rPr>
          <w:bCs/>
          <w:sz w:val="22"/>
          <w:szCs w:val="22"/>
          <w:lang w:val="sr-Latn-CS"/>
        </w:rPr>
        <w:t xml:space="preserve"> </w:t>
      </w:r>
    </w:p>
    <w:p w14:paraId="5FAC4E32" w14:textId="04A0A80C" w:rsidR="00053EBE" w:rsidRPr="00512BE3" w:rsidRDefault="00053EBE" w:rsidP="00053EBE">
      <w:pPr>
        <w:spacing w:after="40"/>
        <w:ind w:firstLine="708"/>
        <w:jc w:val="both"/>
        <w:rPr>
          <w:bCs/>
          <w:sz w:val="22"/>
          <w:szCs w:val="22"/>
          <w:lang w:val="sr-Latn-BA"/>
        </w:rPr>
      </w:pPr>
      <w:r w:rsidRPr="00512BE3">
        <w:rPr>
          <w:bCs/>
          <w:sz w:val="22"/>
          <w:szCs w:val="22"/>
          <w:lang w:val="sr-Latn-BA"/>
        </w:rPr>
        <w:t xml:space="preserve">Pored pomenutih aktivnosti, u periodu od 01.01. do 31.12.2022. godine: riješeno je 369 zahtjeva za priznavanje prava na utvrđivanje ukupne količine za koju se može ostvariti pravo na povrat akcize na ulje za loženje (PPLO), po zahtjevima je sačinjeno 8.630 potvrda u vezi statusa lica u JR i izdato 65 prekršajnih naloga koji se odnose na prijavljivanje i promjene podataka </w:t>
      </w:r>
      <w:r w:rsidRPr="001A2DBA">
        <w:rPr>
          <w:bCs/>
          <w:sz w:val="22"/>
          <w:szCs w:val="22"/>
          <w:lang w:val="sr-Latn-BA"/>
        </w:rPr>
        <w:t>u JR.</w:t>
      </w:r>
      <w:r w:rsidR="00197657" w:rsidRPr="001A2DBA">
        <w:rPr>
          <w:bCs/>
          <w:sz w:val="22"/>
          <w:szCs w:val="22"/>
          <w:lang w:val="sr-Latn-BA"/>
        </w:rPr>
        <w:t xml:space="preserve"> </w:t>
      </w:r>
      <w:r w:rsidRPr="001A2DBA">
        <w:rPr>
          <w:bCs/>
          <w:sz w:val="22"/>
          <w:szCs w:val="22"/>
          <w:lang w:val="sr-Latn-BA"/>
        </w:rPr>
        <w:t>Takođe je</w:t>
      </w:r>
      <w:r w:rsidRPr="00512BE3">
        <w:rPr>
          <w:bCs/>
          <w:sz w:val="22"/>
          <w:szCs w:val="22"/>
          <w:lang w:val="sr-Latn-BA"/>
        </w:rPr>
        <w:t xml:space="preserve"> riješeno 86 zahtjeva za povrat PDV-a stranim poreznim obveznicima i po navedenom osnovu odobren je iznos od 4.153.920,69 KM. U pomenutom periodu, sačinjena su 42 nacrta rješenja u prvom stepenu po žalbama izjavljenim na rješenja donesena u okviru  upravnih postupaka vezanih za Jedinstveni registar obveznika indirektnih poreza. </w:t>
      </w:r>
    </w:p>
    <w:p w14:paraId="7F8845A0" w14:textId="584DE508" w:rsidR="00105FC8" w:rsidRPr="00512BE3" w:rsidRDefault="00053EBE" w:rsidP="00053EBE">
      <w:pPr>
        <w:spacing w:after="40"/>
        <w:ind w:firstLine="708"/>
        <w:jc w:val="both"/>
        <w:rPr>
          <w:bCs/>
          <w:sz w:val="22"/>
          <w:szCs w:val="22"/>
          <w:lang w:val="sr-Latn-BA"/>
        </w:rPr>
      </w:pPr>
      <w:r w:rsidRPr="00512BE3">
        <w:rPr>
          <w:sz w:val="22"/>
          <w:szCs w:val="22"/>
          <w:lang w:val="sr-Latn-BA"/>
        </w:rPr>
        <w:t>U periodu 01.01.-31.12.2022. godine kreirano je ukupno 601.435 PDV prijava, od toga broja 585.097 su redovne PDV prijave, izmijenjenih PDV prijava je 15.151 i dodatnih PDV prijava 1.187. U navedenom periodu proknjiženo je ukupno 599.692 PDV prijava, od tog broja 584.630 su redovne PDV prijave, 14.089 izmijenjenih PDV prijava i 973 dodatnih PDV prijava.</w:t>
      </w:r>
      <w:r w:rsidR="0071776B" w:rsidRPr="00512BE3">
        <w:rPr>
          <w:sz w:val="22"/>
          <w:szCs w:val="22"/>
          <w:lang w:val="sr-Latn-BA"/>
        </w:rPr>
        <w:t xml:space="preserve"> </w:t>
      </w:r>
      <w:r w:rsidR="0071751E" w:rsidRPr="00512BE3">
        <w:rPr>
          <w:sz w:val="22"/>
          <w:szCs w:val="22"/>
          <w:lang w:val="sr-Latn-BA"/>
        </w:rPr>
        <w:t>Broj ukupno kreiranih PDA prijava za domaću akcizu u periodu 01.01.-31.12.2022. godine iznosio je 3.217, odnosno kreirane su 3.184 redovne PDA prijave, 30 izmijenjenih i 3 dodatne PDA prijave. Proknjiženo je ukupno 3.211 PDA prijava u navedenom periodu, od tog broja proknjižene su 3.182 redovnih PDA prijava, 26 izmjenjenih i 3 dodatne PDA prijava.</w:t>
      </w:r>
      <w:r w:rsidR="0071776B" w:rsidRPr="00512BE3">
        <w:rPr>
          <w:sz w:val="22"/>
          <w:szCs w:val="22"/>
          <w:lang w:val="sr-Latn-BA"/>
        </w:rPr>
        <w:t xml:space="preserve"> </w:t>
      </w:r>
      <w:r w:rsidR="0071751E" w:rsidRPr="00512BE3">
        <w:rPr>
          <w:sz w:val="22"/>
          <w:szCs w:val="22"/>
          <w:lang w:val="sr-Latn-BA"/>
        </w:rPr>
        <w:t>Realizovano je 11.216 unosa izvještaja obveznika u posebnoj šemi u građevinarstvu u periodu januar - decembar 2022. godine</w:t>
      </w:r>
      <w:r w:rsidR="0071776B" w:rsidRPr="00512BE3">
        <w:rPr>
          <w:sz w:val="22"/>
          <w:szCs w:val="22"/>
          <w:lang w:val="sr-Latn-BA"/>
        </w:rPr>
        <w:t xml:space="preserve">. </w:t>
      </w:r>
    </w:p>
    <w:p w14:paraId="29E3F740" w14:textId="4173F977" w:rsidR="00564E34" w:rsidRPr="00512BE3" w:rsidRDefault="000A7BE2" w:rsidP="00625D1E">
      <w:pPr>
        <w:spacing w:after="40"/>
        <w:ind w:firstLine="708"/>
        <w:jc w:val="both"/>
        <w:rPr>
          <w:sz w:val="22"/>
          <w:szCs w:val="22"/>
          <w:lang w:val="sr-Latn-BA"/>
        </w:rPr>
      </w:pPr>
      <w:r w:rsidRPr="00512BE3">
        <w:rPr>
          <w:sz w:val="22"/>
          <w:szCs w:val="22"/>
          <w:lang w:val="sr-Latn-BA"/>
        </w:rPr>
        <w:t xml:space="preserve">Takođe u ovom periodu </w:t>
      </w:r>
      <w:r w:rsidR="00564E34" w:rsidRPr="00512BE3">
        <w:rPr>
          <w:sz w:val="22"/>
          <w:szCs w:val="22"/>
          <w:lang w:val="sr-Latn-BA"/>
        </w:rPr>
        <w:t xml:space="preserve">izdato </w:t>
      </w:r>
      <w:r w:rsidR="0071751E" w:rsidRPr="00512BE3">
        <w:rPr>
          <w:sz w:val="22"/>
          <w:szCs w:val="22"/>
          <w:lang w:val="sr-Latn-BA"/>
        </w:rPr>
        <w:t>je u</w:t>
      </w:r>
      <w:r w:rsidR="00197657">
        <w:rPr>
          <w:sz w:val="22"/>
          <w:szCs w:val="22"/>
          <w:lang w:val="sr-Latn-BA"/>
        </w:rPr>
        <w:t xml:space="preserve">kupno 5.233 </w:t>
      </w:r>
      <w:r w:rsidR="00197657" w:rsidRPr="001A2DBA">
        <w:rPr>
          <w:sz w:val="22"/>
          <w:szCs w:val="22"/>
          <w:lang w:val="sr-Latn-BA"/>
        </w:rPr>
        <w:t xml:space="preserve">prekršajnih naloga </w:t>
      </w:r>
      <w:r w:rsidR="0071751E" w:rsidRPr="001A2DBA">
        <w:rPr>
          <w:sz w:val="22"/>
          <w:szCs w:val="22"/>
          <w:lang w:val="sr-Latn-BA"/>
        </w:rPr>
        <w:t>zbog nedostavljanja</w:t>
      </w:r>
      <w:r w:rsidR="0071751E" w:rsidRPr="00512BE3">
        <w:rPr>
          <w:sz w:val="22"/>
          <w:szCs w:val="22"/>
          <w:lang w:val="sr-Latn-BA"/>
        </w:rPr>
        <w:t xml:space="preserve"> eEvidencija od strane poreskih obveznika i zbog kašnjenja ili nepodnošenja PDV prijava, a u periodu 01.01.-31.12.2021. godine izdato je ukupno 6.935 prekršajnih naloga.</w:t>
      </w:r>
      <w:r w:rsidR="00625D1E" w:rsidRPr="00512BE3">
        <w:rPr>
          <w:sz w:val="22"/>
          <w:szCs w:val="22"/>
          <w:lang w:val="sr-Latn-BA"/>
        </w:rPr>
        <w:t xml:space="preserve"> </w:t>
      </w:r>
      <w:r w:rsidR="0071751E" w:rsidRPr="00512BE3">
        <w:rPr>
          <w:sz w:val="22"/>
          <w:szCs w:val="22"/>
          <w:lang w:val="sr-Latn-BA"/>
        </w:rPr>
        <w:t>Izvršeno je 257 uparivanja uplata po zahtjevu obveznika u izvještajnom periodu, dok je u 2021. godini upareno 265 neraspoređenih uplata po zahtjevima obveznika.</w:t>
      </w:r>
    </w:p>
    <w:p w14:paraId="299109EC" w14:textId="2A698E5B" w:rsidR="008B58E8" w:rsidRPr="00512BE3" w:rsidRDefault="0071751E" w:rsidP="008B58E8">
      <w:pPr>
        <w:spacing w:after="40"/>
        <w:ind w:firstLine="708"/>
        <w:jc w:val="both"/>
        <w:rPr>
          <w:color w:val="FF0000"/>
          <w:sz w:val="22"/>
          <w:szCs w:val="22"/>
          <w:u w:val="single"/>
          <w:lang w:val="sr-Latn-BA"/>
        </w:rPr>
      </w:pPr>
      <w:r w:rsidRPr="00512BE3">
        <w:rPr>
          <w:sz w:val="22"/>
          <w:szCs w:val="22"/>
          <w:lang w:val="sr-Latn-BA"/>
        </w:rPr>
        <w:t>U navedenom periodu izrađeno je 783 rješenja o povratu PDV po osnovu PDV prijava, a što je manje u odnosu na 2021. godinu kada su donesena 957 rješenja o povratu PDV po PDV prijavama. U 2022. godini doneseno je ukupno 9.137 rješenja o povratu neiskorištenog poreskog kredita, dok je istih  u 2021. godini doneseno doneseno ukupno 8.593.</w:t>
      </w:r>
      <w:r w:rsidR="008B58E8" w:rsidRPr="00512BE3">
        <w:rPr>
          <w:sz w:val="22"/>
          <w:szCs w:val="22"/>
          <w:lang w:val="sr-Latn-BA"/>
        </w:rPr>
        <w:t xml:space="preserve"> </w:t>
      </w:r>
      <w:r w:rsidRPr="00512BE3">
        <w:rPr>
          <w:sz w:val="22"/>
          <w:szCs w:val="22"/>
          <w:lang w:val="sr-Latn-BA"/>
        </w:rPr>
        <w:t>odobreno je ukupno povrata PDV- po PDV prijavama u iznosu od 1.958.800.578,03 KM, dok je u periodu 01.01.-31.12.2021. godine odobreno ukupno 1.352.853.513,01 KM. U 2022. godini u odnosu na 2021. godinu došlo je do rasta odobrenog povrata PDV-a po osnovu PDV prijava za 44,79% ili u apsolutnom iznosu odobreni povrat je povećan za 605.947.065,02 KM.</w:t>
      </w:r>
    </w:p>
    <w:p w14:paraId="0EC10C94" w14:textId="1742DC64" w:rsidR="0095417A" w:rsidRPr="00512BE3" w:rsidRDefault="00862485" w:rsidP="003A01E1">
      <w:pPr>
        <w:spacing w:after="40"/>
        <w:ind w:firstLine="708"/>
        <w:jc w:val="both"/>
        <w:rPr>
          <w:sz w:val="22"/>
          <w:szCs w:val="22"/>
          <w:lang w:val="sr-Latn-BA"/>
        </w:rPr>
      </w:pPr>
      <w:r w:rsidRPr="00512BE3">
        <w:rPr>
          <w:sz w:val="22"/>
          <w:szCs w:val="22"/>
          <w:lang w:val="sr-Latn-BA"/>
        </w:rPr>
        <w:t>U provođenju prvostepenog upravnog postupka od strane o</w:t>
      </w:r>
      <w:r w:rsidR="00564E34" w:rsidRPr="00512BE3">
        <w:rPr>
          <w:sz w:val="22"/>
          <w:szCs w:val="22"/>
          <w:lang w:val="sr-Latn-BA"/>
        </w:rPr>
        <w:t>dsje</w:t>
      </w:r>
      <w:r w:rsidRPr="00512BE3">
        <w:rPr>
          <w:sz w:val="22"/>
          <w:szCs w:val="22"/>
          <w:lang w:val="sr-Latn-BA"/>
        </w:rPr>
        <w:t>ka</w:t>
      </w:r>
      <w:r w:rsidR="00564E34" w:rsidRPr="00512BE3">
        <w:rPr>
          <w:sz w:val="22"/>
          <w:szCs w:val="22"/>
          <w:lang w:val="sr-Latn-BA"/>
        </w:rPr>
        <w:t xml:space="preserve"> za poreze u regionalnim centrima UIO </w:t>
      </w:r>
      <w:r w:rsidRPr="00512BE3">
        <w:rPr>
          <w:sz w:val="22"/>
          <w:szCs w:val="22"/>
          <w:lang w:val="sr-Latn-BA"/>
        </w:rPr>
        <w:t xml:space="preserve">postupano je po žalbama </w:t>
      </w:r>
      <w:r w:rsidR="00564E34" w:rsidRPr="00512BE3">
        <w:rPr>
          <w:sz w:val="22"/>
          <w:szCs w:val="22"/>
          <w:lang w:val="sr-Latn-BA"/>
        </w:rPr>
        <w:t xml:space="preserve">obveznika </w:t>
      </w:r>
      <w:r w:rsidRPr="00512BE3">
        <w:rPr>
          <w:sz w:val="22"/>
          <w:szCs w:val="22"/>
          <w:lang w:val="sr-Latn-BA"/>
        </w:rPr>
        <w:t xml:space="preserve">indirektnih poreza i rezultati rada su iskazani </w:t>
      </w:r>
      <w:r w:rsidR="00112817" w:rsidRPr="00512BE3">
        <w:rPr>
          <w:sz w:val="22"/>
          <w:szCs w:val="22"/>
          <w:lang w:val="sr-Latn-BA"/>
        </w:rPr>
        <w:t>u tabelarnom pregledu (</w:t>
      </w:r>
      <w:r w:rsidR="00112817" w:rsidRPr="00CE5778">
        <w:rPr>
          <w:i/>
          <w:sz w:val="22"/>
          <w:szCs w:val="22"/>
          <w:lang w:val="sr-Latn-BA"/>
        </w:rPr>
        <w:t xml:space="preserve">Tabela </w:t>
      </w:r>
      <w:r w:rsidR="002722B0" w:rsidRPr="00CE5778">
        <w:rPr>
          <w:i/>
          <w:sz w:val="22"/>
          <w:szCs w:val="22"/>
          <w:lang w:val="sr-Latn-BA"/>
        </w:rPr>
        <w:t>19</w:t>
      </w:r>
      <w:r w:rsidRPr="00512BE3">
        <w:rPr>
          <w:sz w:val="22"/>
          <w:szCs w:val="22"/>
          <w:lang w:val="sr-Latn-BA"/>
        </w:rPr>
        <w:t>).</w:t>
      </w:r>
    </w:p>
    <w:p w14:paraId="111987CB" w14:textId="3442B733" w:rsidR="00564E34" w:rsidRPr="00512BE3" w:rsidRDefault="00A8008C" w:rsidP="00A8008C">
      <w:pPr>
        <w:spacing w:after="80"/>
        <w:ind w:left="-567" w:firstLine="28"/>
        <w:jc w:val="both"/>
        <w:rPr>
          <w:b/>
          <w:i/>
          <w:sz w:val="22"/>
          <w:szCs w:val="22"/>
          <w:lang w:val="sr-Latn-BA"/>
        </w:rPr>
      </w:pPr>
      <w:r w:rsidRPr="00512BE3">
        <w:rPr>
          <w:sz w:val="22"/>
          <w:szCs w:val="22"/>
          <w:lang w:val="sr-Latn-BA"/>
        </w:rPr>
        <w:t xml:space="preserve">           </w:t>
      </w:r>
      <w:r w:rsidR="00564E34" w:rsidRPr="00512BE3">
        <w:rPr>
          <w:b/>
          <w:i/>
          <w:sz w:val="22"/>
          <w:szCs w:val="22"/>
          <w:lang w:val="sr-Latn-BA"/>
        </w:rPr>
        <w:t xml:space="preserve">Tabela </w:t>
      </w:r>
      <w:r w:rsidR="002722B0">
        <w:rPr>
          <w:b/>
          <w:i/>
          <w:sz w:val="22"/>
          <w:szCs w:val="22"/>
          <w:lang w:val="sr-Latn-BA"/>
        </w:rPr>
        <w:t>19</w:t>
      </w:r>
      <w:r w:rsidRPr="00512BE3">
        <w:rPr>
          <w:b/>
          <w:i/>
          <w:sz w:val="22"/>
          <w:szCs w:val="22"/>
          <w:lang w:val="sr-Latn-BA"/>
        </w:rPr>
        <w:t>:</w:t>
      </w:r>
      <w:r w:rsidR="00564E34" w:rsidRPr="00512BE3">
        <w:rPr>
          <w:b/>
          <w:i/>
          <w:sz w:val="22"/>
          <w:szCs w:val="22"/>
          <w:lang w:val="sr-Latn-BA"/>
        </w:rPr>
        <w:t xml:space="preserve"> Pregled pokazatelja provedenih aktivnos</w:t>
      </w:r>
      <w:r w:rsidR="00E91866" w:rsidRPr="00512BE3">
        <w:rPr>
          <w:b/>
          <w:i/>
          <w:sz w:val="22"/>
          <w:szCs w:val="22"/>
          <w:lang w:val="sr-Latn-BA"/>
        </w:rPr>
        <w:t>ti svih odsjeka za poreze u 202</w:t>
      </w:r>
      <w:r w:rsidR="005918D0" w:rsidRPr="00512BE3">
        <w:rPr>
          <w:b/>
          <w:i/>
          <w:sz w:val="22"/>
          <w:szCs w:val="22"/>
          <w:lang w:val="sr-Latn-BA"/>
        </w:rPr>
        <w:t>2</w:t>
      </w:r>
      <w:r w:rsidR="00564E34" w:rsidRPr="00512BE3">
        <w:rPr>
          <w:b/>
          <w:i/>
          <w:sz w:val="22"/>
          <w:szCs w:val="22"/>
          <w:lang w:val="sr-Latn-BA"/>
        </w:rPr>
        <w:t xml:space="preserve">. godini </w:t>
      </w:r>
    </w:p>
    <w:tbl>
      <w:tblPr>
        <w:tblStyle w:val="GridTable6Colorful-Accent3"/>
        <w:tblW w:w="9045" w:type="dxa"/>
        <w:tblInd w:w="-5" w:type="dxa"/>
        <w:tblLook w:val="04A0" w:firstRow="1" w:lastRow="0" w:firstColumn="1" w:lastColumn="0" w:noHBand="0" w:noVBand="1"/>
      </w:tblPr>
      <w:tblGrid>
        <w:gridCol w:w="588"/>
        <w:gridCol w:w="2683"/>
        <w:gridCol w:w="1532"/>
        <w:gridCol w:w="1085"/>
        <w:gridCol w:w="1082"/>
        <w:gridCol w:w="952"/>
        <w:gridCol w:w="1123"/>
      </w:tblGrid>
      <w:tr w:rsidR="0071751E" w:rsidRPr="00512BE3" w14:paraId="3F9D44CB" w14:textId="77777777" w:rsidTr="009042A8">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88" w:type="dxa"/>
            <w:vMerge w:val="restart"/>
            <w:shd w:val="clear" w:color="auto" w:fill="C5E0B3" w:themeFill="accent6" w:themeFillTint="66"/>
            <w:hideMark/>
          </w:tcPr>
          <w:p w14:paraId="0C33FEE4" w14:textId="77777777" w:rsidR="0071751E" w:rsidRPr="00512BE3" w:rsidRDefault="0071751E" w:rsidP="0071751E">
            <w:pPr>
              <w:jc w:val="center"/>
              <w:rPr>
                <w:color w:val="000000"/>
                <w:sz w:val="18"/>
                <w:szCs w:val="18"/>
                <w:lang w:val="sr-Latn-RS" w:eastAsia="sr-Latn-RS"/>
              </w:rPr>
            </w:pPr>
            <w:r w:rsidRPr="00512BE3">
              <w:rPr>
                <w:color w:val="000000"/>
                <w:sz w:val="18"/>
                <w:szCs w:val="18"/>
                <w:lang w:val="sr-Latn-RS" w:eastAsia="sr-Latn-RS"/>
              </w:rPr>
              <w:t>Red. Broj</w:t>
            </w:r>
          </w:p>
        </w:tc>
        <w:tc>
          <w:tcPr>
            <w:tcW w:w="2683" w:type="dxa"/>
            <w:vMerge w:val="restart"/>
            <w:shd w:val="clear" w:color="auto" w:fill="C5E0B3" w:themeFill="accent6" w:themeFillTint="66"/>
            <w:vAlign w:val="center"/>
            <w:hideMark/>
          </w:tcPr>
          <w:p w14:paraId="41C62B92" w14:textId="77777777" w:rsidR="0071751E" w:rsidRPr="00512BE3" w:rsidRDefault="0071751E" w:rsidP="0071751E">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RS" w:eastAsia="sr-Latn-RS"/>
              </w:rPr>
              <w:t>Radni zadaci Odsjeka za poreze</w:t>
            </w:r>
          </w:p>
        </w:tc>
        <w:tc>
          <w:tcPr>
            <w:tcW w:w="4651" w:type="dxa"/>
            <w:gridSpan w:val="4"/>
            <w:shd w:val="clear" w:color="auto" w:fill="C5E0B3" w:themeFill="accent6" w:themeFillTint="66"/>
            <w:noWrap/>
            <w:hideMark/>
          </w:tcPr>
          <w:p w14:paraId="6A826976" w14:textId="77777777" w:rsidR="0071751E" w:rsidRPr="00512BE3" w:rsidRDefault="0071751E" w:rsidP="0071751E">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RS" w:eastAsia="sr-Latn-RS"/>
              </w:rPr>
              <w:t>Regionalni centar</w:t>
            </w:r>
          </w:p>
        </w:tc>
        <w:tc>
          <w:tcPr>
            <w:tcW w:w="1123" w:type="dxa"/>
            <w:vMerge w:val="restart"/>
            <w:shd w:val="clear" w:color="auto" w:fill="C5E0B3" w:themeFill="accent6" w:themeFillTint="66"/>
            <w:vAlign w:val="center"/>
            <w:hideMark/>
          </w:tcPr>
          <w:p w14:paraId="2814C383" w14:textId="77777777" w:rsidR="0071751E" w:rsidRPr="00512BE3" w:rsidRDefault="0071751E" w:rsidP="0071751E">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RS" w:eastAsia="sr-Latn-RS"/>
              </w:rPr>
              <w:t>UKUPNO</w:t>
            </w:r>
          </w:p>
        </w:tc>
      </w:tr>
      <w:tr w:rsidR="009042A8" w:rsidRPr="00512BE3" w14:paraId="55BB0C66" w14:textId="77777777" w:rsidTr="009042A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88" w:type="dxa"/>
            <w:vMerge/>
            <w:hideMark/>
          </w:tcPr>
          <w:p w14:paraId="0F64EF2C" w14:textId="77777777" w:rsidR="0071751E" w:rsidRPr="00512BE3" w:rsidRDefault="0071751E" w:rsidP="0071751E">
            <w:pPr>
              <w:jc w:val="center"/>
              <w:rPr>
                <w:color w:val="000000"/>
                <w:sz w:val="22"/>
                <w:szCs w:val="22"/>
                <w:lang w:val="sr-Latn-RS" w:eastAsia="sr-Latn-RS"/>
              </w:rPr>
            </w:pPr>
          </w:p>
        </w:tc>
        <w:tc>
          <w:tcPr>
            <w:tcW w:w="2683" w:type="dxa"/>
            <w:vMerge/>
            <w:hideMark/>
          </w:tcPr>
          <w:p w14:paraId="2E383324"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val="sr-Latn-RS" w:eastAsia="sr-Latn-RS"/>
              </w:rPr>
            </w:pPr>
          </w:p>
        </w:tc>
        <w:tc>
          <w:tcPr>
            <w:tcW w:w="1532" w:type="dxa"/>
            <w:shd w:val="clear" w:color="auto" w:fill="C5E0B3" w:themeFill="accent6" w:themeFillTint="66"/>
            <w:noWrap/>
            <w:hideMark/>
          </w:tcPr>
          <w:p w14:paraId="3D0EC2D8"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Latn-RS" w:eastAsia="sr-Latn-RS"/>
              </w:rPr>
            </w:pPr>
            <w:r w:rsidRPr="00512BE3">
              <w:rPr>
                <w:b/>
                <w:bCs/>
                <w:color w:val="000000"/>
                <w:sz w:val="18"/>
                <w:szCs w:val="18"/>
                <w:lang w:val="sr-Latn-RS" w:eastAsia="sr-Latn-RS"/>
              </w:rPr>
              <w:t>Banja Luka</w:t>
            </w:r>
          </w:p>
        </w:tc>
        <w:tc>
          <w:tcPr>
            <w:tcW w:w="1085" w:type="dxa"/>
            <w:shd w:val="clear" w:color="auto" w:fill="C5E0B3" w:themeFill="accent6" w:themeFillTint="66"/>
            <w:noWrap/>
            <w:hideMark/>
          </w:tcPr>
          <w:p w14:paraId="7A55BF58"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Latn-RS" w:eastAsia="sr-Latn-RS"/>
              </w:rPr>
            </w:pPr>
            <w:r w:rsidRPr="00512BE3">
              <w:rPr>
                <w:b/>
                <w:bCs/>
                <w:color w:val="000000"/>
                <w:sz w:val="18"/>
                <w:szCs w:val="18"/>
                <w:lang w:val="sr-Latn-RS" w:eastAsia="sr-Latn-RS"/>
              </w:rPr>
              <w:t>Mostar</w:t>
            </w:r>
          </w:p>
        </w:tc>
        <w:tc>
          <w:tcPr>
            <w:tcW w:w="1082" w:type="dxa"/>
            <w:shd w:val="clear" w:color="auto" w:fill="C5E0B3" w:themeFill="accent6" w:themeFillTint="66"/>
            <w:noWrap/>
            <w:hideMark/>
          </w:tcPr>
          <w:p w14:paraId="469A7BDE"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Latn-RS" w:eastAsia="sr-Latn-RS"/>
              </w:rPr>
            </w:pPr>
            <w:r w:rsidRPr="00512BE3">
              <w:rPr>
                <w:b/>
                <w:bCs/>
                <w:color w:val="000000"/>
                <w:sz w:val="18"/>
                <w:szCs w:val="18"/>
                <w:lang w:val="sr-Latn-RS" w:eastAsia="sr-Latn-RS"/>
              </w:rPr>
              <w:t>Sarajevo</w:t>
            </w:r>
          </w:p>
        </w:tc>
        <w:tc>
          <w:tcPr>
            <w:tcW w:w="951" w:type="dxa"/>
            <w:shd w:val="clear" w:color="auto" w:fill="C5E0B3" w:themeFill="accent6" w:themeFillTint="66"/>
            <w:noWrap/>
            <w:hideMark/>
          </w:tcPr>
          <w:p w14:paraId="2F8ED8E1"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Latn-RS" w:eastAsia="sr-Latn-RS"/>
              </w:rPr>
            </w:pPr>
            <w:r w:rsidRPr="00512BE3">
              <w:rPr>
                <w:b/>
                <w:bCs/>
                <w:color w:val="000000"/>
                <w:sz w:val="18"/>
                <w:szCs w:val="18"/>
                <w:lang w:val="sr-Latn-RS" w:eastAsia="sr-Latn-RS"/>
              </w:rPr>
              <w:t>Tuzla</w:t>
            </w:r>
          </w:p>
        </w:tc>
        <w:tc>
          <w:tcPr>
            <w:tcW w:w="1123" w:type="dxa"/>
            <w:vMerge/>
            <w:hideMark/>
          </w:tcPr>
          <w:p w14:paraId="1622F26D"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val="sr-Latn-RS" w:eastAsia="sr-Latn-RS"/>
              </w:rPr>
            </w:pPr>
          </w:p>
        </w:tc>
      </w:tr>
      <w:tr w:rsidR="0071751E" w:rsidRPr="00512BE3" w14:paraId="1C39C1C8" w14:textId="77777777" w:rsidTr="0095417A">
        <w:trPr>
          <w:trHeight w:val="162"/>
        </w:trPr>
        <w:tc>
          <w:tcPr>
            <w:cnfStyle w:val="001000000000" w:firstRow="0" w:lastRow="0" w:firstColumn="1" w:lastColumn="0" w:oddVBand="0" w:evenVBand="0" w:oddHBand="0" w:evenHBand="0" w:firstRowFirstColumn="0" w:firstRowLastColumn="0" w:lastRowFirstColumn="0" w:lastRowLastColumn="0"/>
            <w:tcW w:w="588" w:type="dxa"/>
            <w:noWrap/>
            <w:hideMark/>
          </w:tcPr>
          <w:p w14:paraId="03D785DE"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1.</w:t>
            </w:r>
          </w:p>
        </w:tc>
        <w:tc>
          <w:tcPr>
            <w:tcW w:w="2683" w:type="dxa"/>
            <w:hideMark/>
          </w:tcPr>
          <w:p w14:paraId="7E373CD5"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Zaprimljeno žalbi</w:t>
            </w:r>
          </w:p>
        </w:tc>
        <w:tc>
          <w:tcPr>
            <w:tcW w:w="1532" w:type="dxa"/>
            <w:noWrap/>
            <w:vAlign w:val="center"/>
            <w:hideMark/>
          </w:tcPr>
          <w:p w14:paraId="2825B782"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72</w:t>
            </w:r>
          </w:p>
        </w:tc>
        <w:tc>
          <w:tcPr>
            <w:tcW w:w="1085" w:type="dxa"/>
            <w:noWrap/>
            <w:vAlign w:val="center"/>
            <w:hideMark/>
          </w:tcPr>
          <w:p w14:paraId="49FDC114"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51</w:t>
            </w:r>
          </w:p>
        </w:tc>
        <w:tc>
          <w:tcPr>
            <w:tcW w:w="1082" w:type="dxa"/>
            <w:noWrap/>
            <w:vAlign w:val="center"/>
            <w:hideMark/>
          </w:tcPr>
          <w:p w14:paraId="26E507B7"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70</w:t>
            </w:r>
          </w:p>
        </w:tc>
        <w:tc>
          <w:tcPr>
            <w:tcW w:w="951" w:type="dxa"/>
            <w:noWrap/>
            <w:vAlign w:val="center"/>
            <w:hideMark/>
          </w:tcPr>
          <w:p w14:paraId="3B65BD17"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98</w:t>
            </w:r>
          </w:p>
        </w:tc>
        <w:tc>
          <w:tcPr>
            <w:tcW w:w="1123" w:type="dxa"/>
            <w:noWrap/>
            <w:vAlign w:val="center"/>
            <w:hideMark/>
          </w:tcPr>
          <w:p w14:paraId="4913EB61"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291</w:t>
            </w:r>
          </w:p>
        </w:tc>
      </w:tr>
      <w:tr w:rsidR="0071751E" w:rsidRPr="00512BE3" w14:paraId="244BC89C" w14:textId="77777777" w:rsidTr="009042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88" w:type="dxa"/>
            <w:noWrap/>
            <w:hideMark/>
          </w:tcPr>
          <w:p w14:paraId="6ECBCB74"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2.</w:t>
            </w:r>
          </w:p>
        </w:tc>
        <w:tc>
          <w:tcPr>
            <w:tcW w:w="2683" w:type="dxa"/>
            <w:hideMark/>
          </w:tcPr>
          <w:p w14:paraId="1B490B04"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Broj odbačenih žalbi</w:t>
            </w:r>
          </w:p>
        </w:tc>
        <w:tc>
          <w:tcPr>
            <w:tcW w:w="1532" w:type="dxa"/>
            <w:noWrap/>
            <w:vAlign w:val="center"/>
            <w:hideMark/>
          </w:tcPr>
          <w:p w14:paraId="5C386541"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2</w:t>
            </w:r>
          </w:p>
        </w:tc>
        <w:tc>
          <w:tcPr>
            <w:tcW w:w="1085" w:type="dxa"/>
            <w:noWrap/>
            <w:vAlign w:val="center"/>
            <w:hideMark/>
          </w:tcPr>
          <w:p w14:paraId="7A914F6B"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2</w:t>
            </w:r>
          </w:p>
        </w:tc>
        <w:tc>
          <w:tcPr>
            <w:tcW w:w="1082" w:type="dxa"/>
            <w:noWrap/>
            <w:vAlign w:val="center"/>
            <w:hideMark/>
          </w:tcPr>
          <w:p w14:paraId="33A0AFC9"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3</w:t>
            </w:r>
          </w:p>
        </w:tc>
        <w:tc>
          <w:tcPr>
            <w:tcW w:w="951" w:type="dxa"/>
            <w:noWrap/>
            <w:vAlign w:val="center"/>
            <w:hideMark/>
          </w:tcPr>
          <w:p w14:paraId="36848BDC"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3</w:t>
            </w:r>
          </w:p>
        </w:tc>
        <w:tc>
          <w:tcPr>
            <w:tcW w:w="1123" w:type="dxa"/>
            <w:noWrap/>
            <w:vAlign w:val="center"/>
            <w:hideMark/>
          </w:tcPr>
          <w:p w14:paraId="15F64899"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10</w:t>
            </w:r>
          </w:p>
        </w:tc>
      </w:tr>
      <w:tr w:rsidR="0071751E" w:rsidRPr="00512BE3" w14:paraId="4C5D296C" w14:textId="77777777" w:rsidTr="0095417A">
        <w:trPr>
          <w:trHeight w:val="214"/>
        </w:trPr>
        <w:tc>
          <w:tcPr>
            <w:cnfStyle w:val="001000000000" w:firstRow="0" w:lastRow="0" w:firstColumn="1" w:lastColumn="0" w:oddVBand="0" w:evenVBand="0" w:oddHBand="0" w:evenHBand="0" w:firstRowFirstColumn="0" w:firstRowLastColumn="0" w:lastRowFirstColumn="0" w:lastRowLastColumn="0"/>
            <w:tcW w:w="588" w:type="dxa"/>
            <w:noWrap/>
            <w:hideMark/>
          </w:tcPr>
          <w:p w14:paraId="0A5BD6E7"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3.</w:t>
            </w:r>
          </w:p>
        </w:tc>
        <w:tc>
          <w:tcPr>
            <w:tcW w:w="2683" w:type="dxa"/>
            <w:hideMark/>
          </w:tcPr>
          <w:p w14:paraId="00500150"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Broj odbijenih žalbi</w:t>
            </w:r>
          </w:p>
        </w:tc>
        <w:tc>
          <w:tcPr>
            <w:tcW w:w="1532" w:type="dxa"/>
            <w:noWrap/>
            <w:vAlign w:val="center"/>
            <w:hideMark/>
          </w:tcPr>
          <w:p w14:paraId="184EFFAE"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47</w:t>
            </w:r>
          </w:p>
        </w:tc>
        <w:tc>
          <w:tcPr>
            <w:tcW w:w="1085" w:type="dxa"/>
            <w:noWrap/>
            <w:vAlign w:val="center"/>
            <w:hideMark/>
          </w:tcPr>
          <w:p w14:paraId="29B370BC"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25</w:t>
            </w:r>
          </w:p>
        </w:tc>
        <w:tc>
          <w:tcPr>
            <w:tcW w:w="1082" w:type="dxa"/>
            <w:noWrap/>
            <w:vAlign w:val="center"/>
            <w:hideMark/>
          </w:tcPr>
          <w:p w14:paraId="63F898D1"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52</w:t>
            </w:r>
          </w:p>
        </w:tc>
        <w:tc>
          <w:tcPr>
            <w:tcW w:w="951" w:type="dxa"/>
            <w:noWrap/>
            <w:vAlign w:val="center"/>
            <w:hideMark/>
          </w:tcPr>
          <w:p w14:paraId="530B8901"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64</w:t>
            </w:r>
          </w:p>
        </w:tc>
        <w:tc>
          <w:tcPr>
            <w:tcW w:w="1123" w:type="dxa"/>
            <w:noWrap/>
            <w:vAlign w:val="center"/>
            <w:hideMark/>
          </w:tcPr>
          <w:p w14:paraId="7C93C799"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188</w:t>
            </w:r>
          </w:p>
        </w:tc>
      </w:tr>
      <w:tr w:rsidR="0071751E" w:rsidRPr="00512BE3" w14:paraId="45316820" w14:textId="77777777" w:rsidTr="009042A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88" w:type="dxa"/>
            <w:noWrap/>
            <w:hideMark/>
          </w:tcPr>
          <w:p w14:paraId="2D0B035B"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4.</w:t>
            </w:r>
          </w:p>
        </w:tc>
        <w:tc>
          <w:tcPr>
            <w:tcW w:w="2683" w:type="dxa"/>
            <w:hideMark/>
          </w:tcPr>
          <w:p w14:paraId="1A8C7BD9"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Riješeno u meritumu - broj uvaženih i djelimično uvaženih žalbi</w:t>
            </w:r>
          </w:p>
        </w:tc>
        <w:tc>
          <w:tcPr>
            <w:tcW w:w="1532" w:type="dxa"/>
            <w:noWrap/>
            <w:vAlign w:val="center"/>
            <w:hideMark/>
          </w:tcPr>
          <w:p w14:paraId="1A77F9BE"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0</w:t>
            </w:r>
          </w:p>
        </w:tc>
        <w:tc>
          <w:tcPr>
            <w:tcW w:w="1085" w:type="dxa"/>
            <w:noWrap/>
            <w:vAlign w:val="center"/>
            <w:hideMark/>
          </w:tcPr>
          <w:p w14:paraId="07B4B390"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0</w:t>
            </w:r>
          </w:p>
        </w:tc>
        <w:tc>
          <w:tcPr>
            <w:tcW w:w="1082" w:type="dxa"/>
            <w:noWrap/>
            <w:vAlign w:val="center"/>
            <w:hideMark/>
          </w:tcPr>
          <w:p w14:paraId="3A593E01"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2</w:t>
            </w:r>
          </w:p>
        </w:tc>
        <w:tc>
          <w:tcPr>
            <w:tcW w:w="951" w:type="dxa"/>
            <w:noWrap/>
            <w:vAlign w:val="center"/>
            <w:hideMark/>
          </w:tcPr>
          <w:p w14:paraId="0CAC8A07"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0</w:t>
            </w:r>
          </w:p>
        </w:tc>
        <w:tc>
          <w:tcPr>
            <w:tcW w:w="1123" w:type="dxa"/>
            <w:noWrap/>
            <w:vAlign w:val="center"/>
            <w:hideMark/>
          </w:tcPr>
          <w:p w14:paraId="5237E3F7"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2</w:t>
            </w:r>
          </w:p>
        </w:tc>
      </w:tr>
      <w:tr w:rsidR="0071751E" w:rsidRPr="00512BE3" w14:paraId="038544DA" w14:textId="77777777" w:rsidTr="009042A8">
        <w:trPr>
          <w:trHeight w:val="400"/>
        </w:trPr>
        <w:tc>
          <w:tcPr>
            <w:cnfStyle w:val="001000000000" w:firstRow="0" w:lastRow="0" w:firstColumn="1" w:lastColumn="0" w:oddVBand="0" w:evenVBand="0" w:oddHBand="0" w:evenHBand="0" w:firstRowFirstColumn="0" w:firstRowLastColumn="0" w:lastRowFirstColumn="0" w:lastRowLastColumn="0"/>
            <w:tcW w:w="588" w:type="dxa"/>
            <w:noWrap/>
            <w:hideMark/>
          </w:tcPr>
          <w:p w14:paraId="137474F6"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5.</w:t>
            </w:r>
          </w:p>
        </w:tc>
        <w:tc>
          <w:tcPr>
            <w:tcW w:w="2683" w:type="dxa"/>
            <w:hideMark/>
          </w:tcPr>
          <w:p w14:paraId="75B7B2F7"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Broj predmeta vraćenih na ponovni postupak</w:t>
            </w:r>
          </w:p>
        </w:tc>
        <w:tc>
          <w:tcPr>
            <w:tcW w:w="1532" w:type="dxa"/>
            <w:noWrap/>
            <w:vAlign w:val="center"/>
            <w:hideMark/>
          </w:tcPr>
          <w:p w14:paraId="2359B760"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23</w:t>
            </w:r>
          </w:p>
        </w:tc>
        <w:tc>
          <w:tcPr>
            <w:tcW w:w="1085" w:type="dxa"/>
            <w:noWrap/>
            <w:vAlign w:val="center"/>
            <w:hideMark/>
          </w:tcPr>
          <w:p w14:paraId="43DCAB47"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20</w:t>
            </w:r>
          </w:p>
        </w:tc>
        <w:tc>
          <w:tcPr>
            <w:tcW w:w="1082" w:type="dxa"/>
            <w:noWrap/>
            <w:vAlign w:val="center"/>
            <w:hideMark/>
          </w:tcPr>
          <w:p w14:paraId="03A38EA0"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14</w:t>
            </w:r>
          </w:p>
        </w:tc>
        <w:tc>
          <w:tcPr>
            <w:tcW w:w="951" w:type="dxa"/>
            <w:noWrap/>
            <w:vAlign w:val="center"/>
            <w:hideMark/>
          </w:tcPr>
          <w:p w14:paraId="34A33CB5"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17</w:t>
            </w:r>
          </w:p>
        </w:tc>
        <w:tc>
          <w:tcPr>
            <w:tcW w:w="1123" w:type="dxa"/>
            <w:noWrap/>
            <w:vAlign w:val="center"/>
            <w:hideMark/>
          </w:tcPr>
          <w:p w14:paraId="755CC883"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74</w:t>
            </w:r>
          </w:p>
        </w:tc>
      </w:tr>
      <w:tr w:rsidR="0071751E" w:rsidRPr="00512BE3" w14:paraId="616983D6" w14:textId="77777777" w:rsidTr="009042A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88" w:type="dxa"/>
            <w:noWrap/>
            <w:vAlign w:val="center"/>
            <w:hideMark/>
          </w:tcPr>
          <w:p w14:paraId="2AAF0B08"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6.</w:t>
            </w:r>
          </w:p>
        </w:tc>
        <w:tc>
          <w:tcPr>
            <w:tcW w:w="2683" w:type="dxa"/>
            <w:hideMark/>
          </w:tcPr>
          <w:p w14:paraId="1846EF5A"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Broj žalbi od kojih je stranka odustala u toku postupka/ obustavljen postupak po drugom osnovu</w:t>
            </w:r>
          </w:p>
        </w:tc>
        <w:tc>
          <w:tcPr>
            <w:tcW w:w="1532" w:type="dxa"/>
            <w:noWrap/>
            <w:vAlign w:val="center"/>
            <w:hideMark/>
          </w:tcPr>
          <w:p w14:paraId="74590112"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1</w:t>
            </w:r>
          </w:p>
        </w:tc>
        <w:tc>
          <w:tcPr>
            <w:tcW w:w="1085" w:type="dxa"/>
            <w:noWrap/>
            <w:vAlign w:val="center"/>
            <w:hideMark/>
          </w:tcPr>
          <w:p w14:paraId="158B0448"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0</w:t>
            </w:r>
          </w:p>
        </w:tc>
        <w:tc>
          <w:tcPr>
            <w:tcW w:w="1082" w:type="dxa"/>
            <w:noWrap/>
            <w:vAlign w:val="center"/>
            <w:hideMark/>
          </w:tcPr>
          <w:p w14:paraId="112FF1A3"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1</w:t>
            </w:r>
          </w:p>
        </w:tc>
        <w:tc>
          <w:tcPr>
            <w:tcW w:w="951" w:type="dxa"/>
            <w:noWrap/>
            <w:vAlign w:val="center"/>
            <w:hideMark/>
          </w:tcPr>
          <w:p w14:paraId="7755A585"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4</w:t>
            </w:r>
          </w:p>
        </w:tc>
        <w:tc>
          <w:tcPr>
            <w:tcW w:w="1123" w:type="dxa"/>
            <w:noWrap/>
            <w:vAlign w:val="center"/>
            <w:hideMark/>
          </w:tcPr>
          <w:p w14:paraId="2BBBDF12" w14:textId="77777777" w:rsidR="0071751E" w:rsidRPr="00512BE3" w:rsidRDefault="0071751E" w:rsidP="0071751E">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6</w:t>
            </w:r>
          </w:p>
        </w:tc>
      </w:tr>
      <w:tr w:rsidR="0071751E" w:rsidRPr="00512BE3" w14:paraId="358ADBC4" w14:textId="77777777" w:rsidTr="0095417A">
        <w:trPr>
          <w:trHeight w:val="543"/>
        </w:trPr>
        <w:tc>
          <w:tcPr>
            <w:cnfStyle w:val="001000000000" w:firstRow="0" w:lastRow="0" w:firstColumn="1" w:lastColumn="0" w:oddVBand="0" w:evenVBand="0" w:oddHBand="0" w:evenHBand="0" w:firstRowFirstColumn="0" w:firstRowLastColumn="0" w:lastRowFirstColumn="0" w:lastRowLastColumn="0"/>
            <w:tcW w:w="588" w:type="dxa"/>
            <w:noWrap/>
            <w:vAlign w:val="center"/>
            <w:hideMark/>
          </w:tcPr>
          <w:p w14:paraId="27F3A1D4" w14:textId="77777777" w:rsidR="0071751E" w:rsidRPr="00512BE3" w:rsidRDefault="0071751E" w:rsidP="0071751E">
            <w:pPr>
              <w:jc w:val="center"/>
              <w:rPr>
                <w:color w:val="000000"/>
                <w:sz w:val="20"/>
                <w:szCs w:val="20"/>
                <w:lang w:val="sr-Latn-RS" w:eastAsia="sr-Latn-RS"/>
              </w:rPr>
            </w:pPr>
            <w:r w:rsidRPr="00512BE3">
              <w:rPr>
                <w:color w:val="000000"/>
                <w:sz w:val="20"/>
                <w:szCs w:val="20"/>
                <w:lang w:val="sr-Latn-RS" w:eastAsia="sr-Latn-RS"/>
              </w:rPr>
              <w:t>7.</w:t>
            </w:r>
          </w:p>
        </w:tc>
        <w:tc>
          <w:tcPr>
            <w:tcW w:w="2683" w:type="dxa"/>
            <w:vAlign w:val="center"/>
            <w:hideMark/>
          </w:tcPr>
          <w:p w14:paraId="489409DF"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Broj donesenih rješenja u postupku po zahtjevu za priznavanje prava za paušalnu naknadu</w:t>
            </w:r>
          </w:p>
        </w:tc>
        <w:tc>
          <w:tcPr>
            <w:tcW w:w="1532" w:type="dxa"/>
            <w:noWrap/>
            <w:vAlign w:val="center"/>
            <w:hideMark/>
          </w:tcPr>
          <w:p w14:paraId="724B9144"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366</w:t>
            </w:r>
          </w:p>
        </w:tc>
        <w:tc>
          <w:tcPr>
            <w:tcW w:w="1085" w:type="dxa"/>
            <w:noWrap/>
            <w:vAlign w:val="center"/>
            <w:hideMark/>
          </w:tcPr>
          <w:p w14:paraId="5810D510"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en-US"/>
              </w:rPr>
              <w:t>161</w:t>
            </w:r>
          </w:p>
        </w:tc>
        <w:tc>
          <w:tcPr>
            <w:tcW w:w="1082" w:type="dxa"/>
            <w:noWrap/>
            <w:vAlign w:val="center"/>
            <w:hideMark/>
          </w:tcPr>
          <w:p w14:paraId="18CAAE4B"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en-GB" w:eastAsia="bs-Latn-BA"/>
              </w:rPr>
              <w:t>386</w:t>
            </w:r>
          </w:p>
        </w:tc>
        <w:tc>
          <w:tcPr>
            <w:tcW w:w="951" w:type="dxa"/>
            <w:noWrap/>
            <w:vAlign w:val="center"/>
            <w:hideMark/>
          </w:tcPr>
          <w:p w14:paraId="328D20CE"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sr-Latn-RS" w:eastAsia="sr-Latn-RS"/>
              </w:rPr>
            </w:pPr>
            <w:r w:rsidRPr="00512BE3">
              <w:rPr>
                <w:color w:val="000000"/>
                <w:sz w:val="18"/>
                <w:szCs w:val="18"/>
                <w:lang w:val="sr-Latn-BA" w:eastAsia="sr-Latn-RS"/>
              </w:rPr>
              <w:t>511</w:t>
            </w:r>
          </w:p>
        </w:tc>
        <w:tc>
          <w:tcPr>
            <w:tcW w:w="1123" w:type="dxa"/>
            <w:noWrap/>
            <w:vAlign w:val="center"/>
            <w:hideMark/>
          </w:tcPr>
          <w:p w14:paraId="6B304318" w14:textId="77777777" w:rsidR="0071751E" w:rsidRPr="00512BE3" w:rsidRDefault="0071751E" w:rsidP="0071751E">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Latn-RS" w:eastAsia="sr-Latn-RS"/>
              </w:rPr>
            </w:pPr>
            <w:r w:rsidRPr="00512BE3">
              <w:rPr>
                <w:b/>
                <w:color w:val="000000"/>
                <w:sz w:val="18"/>
                <w:szCs w:val="18"/>
                <w:lang w:val="sr-Latn-RS" w:eastAsia="sr-Latn-RS"/>
              </w:rPr>
              <w:t>1.424</w:t>
            </w:r>
          </w:p>
        </w:tc>
      </w:tr>
    </w:tbl>
    <w:p w14:paraId="397F29BB" w14:textId="6B008CAC" w:rsidR="008F6340" w:rsidRPr="00512BE3" w:rsidRDefault="008F6340" w:rsidP="006C3645">
      <w:pPr>
        <w:jc w:val="both"/>
        <w:rPr>
          <w:rFonts w:eastAsia="Calibri"/>
          <w:sz w:val="22"/>
          <w:szCs w:val="22"/>
          <w:lang w:eastAsia="en-US"/>
        </w:rPr>
      </w:pPr>
    </w:p>
    <w:p w14:paraId="5E70C452" w14:textId="58EC987F" w:rsidR="0089642B" w:rsidRPr="00512BE3" w:rsidRDefault="00B81B2C" w:rsidP="0089642B">
      <w:pPr>
        <w:pStyle w:val="Heading1"/>
        <w:spacing w:before="0" w:after="80"/>
        <w:ind w:left="425" w:hanging="431"/>
        <w:rPr>
          <w:lang w:val="bs-Latn-BA" w:eastAsia="en-US"/>
        </w:rPr>
      </w:pPr>
      <w:bookmarkStart w:id="31" w:name="_Toc95294158"/>
      <w:r w:rsidRPr="00512BE3">
        <w:rPr>
          <w:lang w:val="bs-Latn-BA" w:eastAsia="en-US"/>
        </w:rPr>
        <w:lastRenderedPageBreak/>
        <w:t>C</w:t>
      </w:r>
      <w:r w:rsidR="000B787D" w:rsidRPr="00512BE3">
        <w:rPr>
          <w:lang w:val="bs-Latn-BA" w:eastAsia="en-US"/>
        </w:rPr>
        <w:t>ARINSKI POSTUPAK</w:t>
      </w:r>
      <w:bookmarkEnd w:id="31"/>
    </w:p>
    <w:p w14:paraId="07A335DA" w14:textId="77777777" w:rsidR="003A01E1" w:rsidRPr="00512BE3" w:rsidRDefault="003A01E1" w:rsidP="003A01E1">
      <w:pPr>
        <w:rPr>
          <w:lang w:val="bs-Latn-BA" w:eastAsia="en-US"/>
        </w:rPr>
      </w:pPr>
    </w:p>
    <w:p w14:paraId="27287261" w14:textId="01A3015B" w:rsidR="008F6340" w:rsidRPr="00512BE3" w:rsidRDefault="0089642B" w:rsidP="008608F8">
      <w:pPr>
        <w:jc w:val="both"/>
        <w:rPr>
          <w:sz w:val="22"/>
          <w:szCs w:val="22"/>
          <w:lang w:val="sr-Latn-BA"/>
        </w:rPr>
      </w:pPr>
      <w:r w:rsidRPr="00512BE3">
        <w:rPr>
          <w:sz w:val="22"/>
          <w:szCs w:val="22"/>
          <w:lang w:val="sr-Latn-BA"/>
        </w:rPr>
        <w:t>U</w:t>
      </w:r>
      <w:r w:rsidR="002700A2" w:rsidRPr="00512BE3">
        <w:rPr>
          <w:sz w:val="22"/>
          <w:szCs w:val="22"/>
          <w:lang w:val="sr-Latn-BA"/>
        </w:rPr>
        <w:t xml:space="preserve"> izvještajnom periodu ostvaren je</w:t>
      </w:r>
      <w:r w:rsidR="00112817" w:rsidRPr="00512BE3">
        <w:rPr>
          <w:sz w:val="22"/>
          <w:szCs w:val="22"/>
          <w:lang w:val="sr-Latn-BA"/>
        </w:rPr>
        <w:t xml:space="preserve"> uvoz</w:t>
      </w:r>
      <w:r w:rsidRPr="00512BE3">
        <w:rPr>
          <w:sz w:val="22"/>
          <w:szCs w:val="22"/>
          <w:lang w:val="sr-Latn-BA"/>
        </w:rPr>
        <w:t xml:space="preserve"> roba </w:t>
      </w:r>
      <w:r w:rsidR="002700A2" w:rsidRPr="00512BE3">
        <w:rPr>
          <w:sz w:val="22"/>
          <w:szCs w:val="22"/>
          <w:lang w:val="sr-Latn-BA"/>
        </w:rPr>
        <w:t xml:space="preserve">u BiH </w:t>
      </w:r>
      <w:r w:rsidRPr="00512BE3">
        <w:rPr>
          <w:sz w:val="22"/>
          <w:szCs w:val="22"/>
          <w:lang w:val="ru-RU"/>
        </w:rPr>
        <w:t xml:space="preserve">prema opštem trgovinskom principu </w:t>
      </w:r>
      <w:r w:rsidR="002700A2" w:rsidRPr="00512BE3">
        <w:rPr>
          <w:sz w:val="22"/>
          <w:szCs w:val="22"/>
          <w:lang w:val="sr-Latn-BA"/>
        </w:rPr>
        <w:t xml:space="preserve">u vrijednosti od </w:t>
      </w:r>
      <w:r w:rsidR="00E63D3E" w:rsidRPr="00512BE3">
        <w:rPr>
          <w:sz w:val="22"/>
          <w:szCs w:val="22"/>
          <w:lang w:val="sr-Latn-BA"/>
        </w:rPr>
        <w:t>29.119.449.123,63</w:t>
      </w:r>
      <w:r w:rsidR="002700A2" w:rsidRPr="00512BE3">
        <w:rPr>
          <w:sz w:val="22"/>
          <w:szCs w:val="22"/>
          <w:lang w:val="sr-Latn-BA"/>
        </w:rPr>
        <w:t xml:space="preserve"> KM što je za </w:t>
      </w:r>
      <w:r w:rsidR="00E63D3E" w:rsidRPr="00512BE3">
        <w:rPr>
          <w:sz w:val="22"/>
          <w:szCs w:val="22"/>
          <w:lang w:val="sr-Latn-BA"/>
        </w:rPr>
        <w:t>32,68</w:t>
      </w:r>
      <w:r w:rsidR="002700A2" w:rsidRPr="00512BE3">
        <w:rPr>
          <w:sz w:val="22"/>
          <w:szCs w:val="22"/>
          <w:lang w:val="sr-Latn-BA"/>
        </w:rPr>
        <w:t xml:space="preserve">% više u odnosu na </w:t>
      </w:r>
      <w:r w:rsidRPr="00512BE3">
        <w:rPr>
          <w:sz w:val="22"/>
          <w:szCs w:val="22"/>
          <w:lang w:val="ru-RU"/>
        </w:rPr>
        <w:t>20</w:t>
      </w:r>
      <w:r w:rsidR="00E63D3E" w:rsidRPr="00512BE3">
        <w:rPr>
          <w:sz w:val="22"/>
          <w:szCs w:val="22"/>
          <w:lang w:val="sr-Latn-BA"/>
        </w:rPr>
        <w:t>21</w:t>
      </w:r>
      <w:r w:rsidRPr="00512BE3">
        <w:rPr>
          <w:sz w:val="22"/>
          <w:szCs w:val="22"/>
          <w:lang w:val="ru-RU"/>
        </w:rPr>
        <w:t xml:space="preserve">. </w:t>
      </w:r>
      <w:r w:rsidR="00702280" w:rsidRPr="00512BE3">
        <w:rPr>
          <w:sz w:val="22"/>
          <w:szCs w:val="22"/>
          <w:lang w:val="sr-Latn-BA"/>
        </w:rPr>
        <w:t>g</w:t>
      </w:r>
      <w:r w:rsidR="002700A2" w:rsidRPr="00512BE3">
        <w:rPr>
          <w:sz w:val="22"/>
          <w:szCs w:val="22"/>
          <w:lang w:val="ru-RU"/>
        </w:rPr>
        <w:t>odinu,</w:t>
      </w:r>
      <w:r w:rsidR="002700A2" w:rsidRPr="00512BE3">
        <w:rPr>
          <w:sz w:val="22"/>
          <w:szCs w:val="22"/>
          <w:lang w:val="sr-Latn-BA"/>
        </w:rPr>
        <w:t xml:space="preserve"> dok je ukupna vrijednost izvoza roba iz </w:t>
      </w:r>
      <w:r w:rsidR="002700A2" w:rsidRPr="001A2DBA">
        <w:rPr>
          <w:sz w:val="22"/>
          <w:szCs w:val="22"/>
          <w:lang w:val="sr-Latn-BA"/>
        </w:rPr>
        <w:t>BiH u 202</w:t>
      </w:r>
      <w:r w:rsidR="00693F80" w:rsidRPr="001A2DBA">
        <w:rPr>
          <w:sz w:val="22"/>
          <w:szCs w:val="22"/>
          <w:lang w:val="sr-Latn-BA"/>
        </w:rPr>
        <w:t>2</w:t>
      </w:r>
      <w:r w:rsidR="002700A2" w:rsidRPr="00512BE3">
        <w:rPr>
          <w:sz w:val="22"/>
          <w:szCs w:val="22"/>
          <w:lang w:val="sr-Latn-BA"/>
        </w:rPr>
        <w:t xml:space="preserve">. godini ostvarena u iznosu od </w:t>
      </w:r>
      <w:r w:rsidR="00E63D3E" w:rsidRPr="00512BE3">
        <w:rPr>
          <w:sz w:val="22"/>
          <w:szCs w:val="22"/>
          <w:lang w:val="sr-Latn-BA"/>
        </w:rPr>
        <w:t>18.377.956.784,73</w:t>
      </w:r>
      <w:r w:rsidR="002700A2" w:rsidRPr="00512BE3">
        <w:rPr>
          <w:sz w:val="22"/>
          <w:szCs w:val="22"/>
          <w:lang w:val="sr-Latn-BA"/>
        </w:rPr>
        <w:t xml:space="preserve"> KM što je za </w:t>
      </w:r>
      <w:r w:rsidR="00E63D3E" w:rsidRPr="00512BE3">
        <w:rPr>
          <w:sz w:val="22"/>
          <w:szCs w:val="22"/>
          <w:lang w:val="sr-Latn-BA"/>
        </w:rPr>
        <w:t>25,70</w:t>
      </w:r>
      <w:r w:rsidR="002700A2" w:rsidRPr="00512BE3">
        <w:rPr>
          <w:sz w:val="22"/>
          <w:szCs w:val="22"/>
          <w:lang w:val="sr-Latn-BA"/>
        </w:rPr>
        <w:t>% više u odnosu na vrijedno</w:t>
      </w:r>
      <w:r w:rsidR="00E63D3E" w:rsidRPr="00512BE3">
        <w:rPr>
          <w:sz w:val="22"/>
          <w:szCs w:val="22"/>
          <w:lang w:val="sr-Latn-BA"/>
        </w:rPr>
        <w:t>st izvoza roba ostvarenih u 2021</w:t>
      </w:r>
      <w:r w:rsidR="002700A2" w:rsidRPr="00512BE3">
        <w:rPr>
          <w:sz w:val="22"/>
          <w:szCs w:val="22"/>
          <w:lang w:val="sr-Latn-BA"/>
        </w:rPr>
        <w:t>. godini. Vrijednost uvoza i izvoza roba u/iz BiH iskazana je uporedno po mjesecima u t</w:t>
      </w:r>
      <w:r w:rsidR="00112817" w:rsidRPr="00512BE3">
        <w:rPr>
          <w:sz w:val="22"/>
          <w:szCs w:val="22"/>
          <w:lang w:val="sr-Latn-BA"/>
        </w:rPr>
        <w:t>abelarnom pregledu (</w:t>
      </w:r>
      <w:r w:rsidR="00112817" w:rsidRPr="00CE5778">
        <w:rPr>
          <w:i/>
          <w:sz w:val="22"/>
          <w:szCs w:val="22"/>
          <w:lang w:val="sr-Latn-BA"/>
        </w:rPr>
        <w:t>Tabela br.2</w:t>
      </w:r>
      <w:r w:rsidR="00CE5778" w:rsidRPr="00CE5778">
        <w:rPr>
          <w:i/>
          <w:sz w:val="22"/>
          <w:szCs w:val="22"/>
          <w:lang w:val="sr-Latn-BA"/>
        </w:rPr>
        <w:t>0</w:t>
      </w:r>
      <w:r w:rsidR="002700A2" w:rsidRPr="00512BE3">
        <w:rPr>
          <w:sz w:val="22"/>
          <w:szCs w:val="22"/>
          <w:lang w:val="sr-Latn-BA"/>
        </w:rPr>
        <w:t>).</w:t>
      </w:r>
    </w:p>
    <w:p w14:paraId="7581823B" w14:textId="7908CC5B" w:rsidR="00E63D3E" w:rsidRPr="00512BE3" w:rsidRDefault="00112817" w:rsidP="0095417A">
      <w:pPr>
        <w:jc w:val="both"/>
        <w:rPr>
          <w:b/>
          <w:sz w:val="16"/>
          <w:szCs w:val="16"/>
          <w:u w:val="single"/>
        </w:rPr>
      </w:pPr>
      <w:r w:rsidRPr="00512BE3">
        <w:rPr>
          <w:b/>
          <w:i/>
          <w:sz w:val="22"/>
          <w:szCs w:val="22"/>
          <w:lang w:val="sr-Latn-BA"/>
        </w:rPr>
        <w:t>Tabela 2</w:t>
      </w:r>
      <w:r w:rsidR="00CE5778">
        <w:rPr>
          <w:b/>
          <w:i/>
          <w:sz w:val="22"/>
          <w:szCs w:val="22"/>
          <w:lang w:val="sr-Latn-BA"/>
        </w:rPr>
        <w:t>0</w:t>
      </w:r>
      <w:r w:rsidR="002700A2" w:rsidRPr="00512BE3">
        <w:rPr>
          <w:b/>
          <w:i/>
          <w:sz w:val="22"/>
          <w:szCs w:val="22"/>
          <w:lang w:val="sr-Latn-BA"/>
        </w:rPr>
        <w:t>.-Pregled ukupne vrijednosti uvoza i izvoza roba u 202</w:t>
      </w:r>
      <w:r w:rsidR="00DF7A60" w:rsidRPr="00512BE3">
        <w:rPr>
          <w:b/>
          <w:i/>
          <w:sz w:val="22"/>
          <w:szCs w:val="22"/>
          <w:lang w:val="sr-Latn-BA"/>
        </w:rPr>
        <w:t>1/2022</w:t>
      </w:r>
      <w:r w:rsidR="002700A2" w:rsidRPr="00512BE3">
        <w:rPr>
          <w:b/>
          <w:i/>
          <w:sz w:val="22"/>
          <w:szCs w:val="22"/>
          <w:lang w:val="sr-Latn-BA"/>
        </w:rPr>
        <w:t xml:space="preserve">. godinu </w:t>
      </w:r>
    </w:p>
    <w:p w14:paraId="7D8B9221" w14:textId="2B36EF27" w:rsidR="0089642B" w:rsidRPr="00512BE3" w:rsidRDefault="0089642B" w:rsidP="0089642B">
      <w:pPr>
        <w:ind w:firstLine="720"/>
        <w:jc w:val="center"/>
        <w:rPr>
          <w:b/>
          <w:sz w:val="16"/>
          <w:szCs w:val="16"/>
          <w:u w:val="single"/>
        </w:rPr>
      </w:pPr>
      <w:r w:rsidRPr="00512BE3">
        <w:rPr>
          <w:b/>
          <w:sz w:val="16"/>
          <w:szCs w:val="16"/>
          <w:u w:val="single"/>
        </w:rPr>
        <w:t>UVOZ</w:t>
      </w:r>
    </w:p>
    <w:p w14:paraId="6E71F6DE" w14:textId="73350CDE" w:rsidR="0089642B" w:rsidRPr="00512BE3" w:rsidRDefault="0089642B" w:rsidP="0089642B">
      <w:pPr>
        <w:ind w:firstLine="720"/>
        <w:rPr>
          <w:b/>
          <w:sz w:val="16"/>
          <w:szCs w:val="16"/>
        </w:rPr>
      </w:pPr>
      <w:r w:rsidRPr="00512BE3">
        <w:rPr>
          <w:b/>
          <w:sz w:val="16"/>
          <w:szCs w:val="16"/>
        </w:rPr>
        <w:t xml:space="preserve">                                </w:t>
      </w:r>
      <w:r w:rsidR="00E63D3E" w:rsidRPr="00512BE3">
        <w:rPr>
          <w:b/>
          <w:sz w:val="16"/>
          <w:szCs w:val="16"/>
        </w:rPr>
        <w:t xml:space="preserve">                      2021</w:t>
      </w:r>
      <w:r w:rsidRPr="00512BE3">
        <w:rPr>
          <w:b/>
          <w:sz w:val="16"/>
          <w:szCs w:val="16"/>
        </w:rPr>
        <w:t xml:space="preserve">                                        </w:t>
      </w:r>
      <w:r w:rsidR="00E63D3E" w:rsidRPr="00512BE3">
        <w:rPr>
          <w:b/>
          <w:sz w:val="16"/>
          <w:szCs w:val="16"/>
        </w:rPr>
        <w:t xml:space="preserve">                          2022</w:t>
      </w:r>
    </w:p>
    <w:tbl>
      <w:tblPr>
        <w:tblW w:w="0" w:type="auto"/>
        <w:jc w:val="center"/>
        <w:tblLook w:val="0000" w:firstRow="0" w:lastRow="0" w:firstColumn="0" w:lastColumn="0" w:noHBand="0" w:noVBand="0"/>
      </w:tblPr>
      <w:tblGrid>
        <w:gridCol w:w="1043"/>
        <w:gridCol w:w="1818"/>
        <w:gridCol w:w="261"/>
        <w:gridCol w:w="1818"/>
        <w:gridCol w:w="1168"/>
      </w:tblGrid>
      <w:tr w:rsidR="0089642B" w:rsidRPr="00512BE3" w14:paraId="07310570"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center"/>
          </w:tcPr>
          <w:p w14:paraId="25189EA8" w14:textId="77777777" w:rsidR="0089642B" w:rsidRPr="00512BE3" w:rsidRDefault="0089642B" w:rsidP="00F23763">
            <w:pPr>
              <w:jc w:val="center"/>
              <w:rPr>
                <w:rFonts w:ascii="Arial" w:hAnsi="Arial" w:cs="Arial"/>
                <w:b/>
                <w:bCs/>
                <w:color w:val="000000"/>
                <w:sz w:val="16"/>
                <w:szCs w:val="16"/>
              </w:rPr>
            </w:pPr>
            <w:bookmarkStart w:id="32" w:name="OLE_LINK1"/>
            <w:r w:rsidRPr="00512BE3">
              <w:rPr>
                <w:rFonts w:ascii="Arial" w:hAnsi="Arial" w:cs="Arial"/>
                <w:b/>
                <w:bCs/>
                <w:color w:val="000000"/>
                <w:sz w:val="16"/>
                <w:szCs w:val="16"/>
              </w:rPr>
              <w:t>Mjesec</w:t>
            </w:r>
          </w:p>
        </w:tc>
        <w:tc>
          <w:tcPr>
            <w:tcW w:w="0" w:type="auto"/>
            <w:tcBorders>
              <w:top w:val="single" w:sz="4" w:space="0" w:color="auto"/>
              <w:left w:val="nil"/>
              <w:bottom w:val="single" w:sz="4" w:space="0" w:color="auto"/>
              <w:right w:val="single" w:sz="4" w:space="0" w:color="auto"/>
            </w:tcBorders>
            <w:shd w:val="clear" w:color="000000" w:fill="C0C0C0"/>
            <w:noWrap/>
            <w:vAlign w:val="center"/>
          </w:tcPr>
          <w:p w14:paraId="3C8B5E2F"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Vrijednost  KM</w:t>
            </w:r>
          </w:p>
        </w:tc>
        <w:tc>
          <w:tcPr>
            <w:tcW w:w="0" w:type="auto"/>
            <w:tcBorders>
              <w:top w:val="single" w:sz="4" w:space="0" w:color="auto"/>
              <w:left w:val="nil"/>
              <w:bottom w:val="single" w:sz="4" w:space="0" w:color="auto"/>
              <w:right w:val="nil"/>
            </w:tcBorders>
            <w:shd w:val="clear" w:color="auto" w:fill="C0C0C0"/>
            <w:noWrap/>
            <w:vAlign w:val="center"/>
          </w:tcPr>
          <w:p w14:paraId="49A91208" w14:textId="77777777" w:rsidR="0089642B" w:rsidRPr="00512BE3" w:rsidRDefault="0089642B" w:rsidP="00F23763">
            <w:pPr>
              <w:jc w:val="center"/>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center"/>
          </w:tcPr>
          <w:p w14:paraId="76259864"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Vrijednost  KM</w:t>
            </w:r>
          </w:p>
        </w:tc>
        <w:tc>
          <w:tcPr>
            <w:tcW w:w="0" w:type="auto"/>
            <w:tcBorders>
              <w:top w:val="single" w:sz="4" w:space="0" w:color="auto"/>
              <w:left w:val="nil"/>
              <w:bottom w:val="single" w:sz="4" w:space="0" w:color="auto"/>
              <w:right w:val="single" w:sz="4" w:space="0" w:color="auto"/>
            </w:tcBorders>
            <w:shd w:val="clear" w:color="000000" w:fill="C0C0C0"/>
            <w:noWrap/>
            <w:vAlign w:val="center"/>
          </w:tcPr>
          <w:p w14:paraId="1B542C37"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Odnos 21/20</w:t>
            </w:r>
          </w:p>
        </w:tc>
      </w:tr>
      <w:tr w:rsidR="00E63D3E" w:rsidRPr="00512BE3" w14:paraId="178ECA4E"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7EAA49CA"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Januar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DBBBF" w14:textId="57593C36"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1.190.571.897,07 </w:t>
            </w:r>
          </w:p>
        </w:tc>
        <w:tc>
          <w:tcPr>
            <w:tcW w:w="0" w:type="auto"/>
            <w:tcBorders>
              <w:top w:val="single" w:sz="4" w:space="0" w:color="auto"/>
              <w:left w:val="nil"/>
              <w:bottom w:val="single" w:sz="4" w:space="0" w:color="auto"/>
              <w:right w:val="nil"/>
            </w:tcBorders>
            <w:shd w:val="clear" w:color="auto" w:fill="C0C0C0"/>
            <w:noWrap/>
            <w:vAlign w:val="center"/>
          </w:tcPr>
          <w:p w14:paraId="067887D9"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0542A" w14:textId="27C817F1"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1.745.753.332,66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CA9C245" w14:textId="59D08F9C"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146,63%</w:t>
            </w:r>
          </w:p>
        </w:tc>
      </w:tr>
      <w:tr w:rsidR="00E63D3E" w:rsidRPr="00512BE3" w14:paraId="11E93F6F"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5BF3C1EA"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Februar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314F6" w14:textId="48F5B680"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1.482.011.315,65 </w:t>
            </w:r>
          </w:p>
        </w:tc>
        <w:tc>
          <w:tcPr>
            <w:tcW w:w="0" w:type="auto"/>
            <w:tcBorders>
              <w:top w:val="single" w:sz="4" w:space="0" w:color="auto"/>
              <w:left w:val="nil"/>
              <w:bottom w:val="single" w:sz="4" w:space="0" w:color="auto"/>
              <w:right w:val="nil"/>
            </w:tcBorders>
            <w:shd w:val="clear" w:color="auto" w:fill="C0C0C0"/>
            <w:noWrap/>
            <w:vAlign w:val="center"/>
          </w:tcPr>
          <w:p w14:paraId="4127EADF"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A4E1F" w14:textId="0841405E"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2.114.774.673,94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43BE53" w14:textId="55CC49D0"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142,70%</w:t>
            </w:r>
          </w:p>
        </w:tc>
      </w:tr>
      <w:tr w:rsidR="00E63D3E" w:rsidRPr="00512BE3" w14:paraId="32AC15A8"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3C335187"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Mart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B7778" w14:textId="33DD0AC2"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1.812.879.169,92 </w:t>
            </w:r>
          </w:p>
        </w:tc>
        <w:tc>
          <w:tcPr>
            <w:tcW w:w="0" w:type="auto"/>
            <w:tcBorders>
              <w:top w:val="single" w:sz="4" w:space="0" w:color="auto"/>
              <w:left w:val="nil"/>
              <w:bottom w:val="single" w:sz="4" w:space="0" w:color="auto"/>
              <w:right w:val="nil"/>
            </w:tcBorders>
            <w:shd w:val="clear" w:color="auto" w:fill="C0C0C0"/>
            <w:noWrap/>
            <w:vAlign w:val="center"/>
          </w:tcPr>
          <w:p w14:paraId="73B2FEBF"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3E285" w14:textId="2A3656AD"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2.564.330.456,63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75C8FB" w14:textId="23EB7B14"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141,45%</w:t>
            </w:r>
          </w:p>
        </w:tc>
      </w:tr>
      <w:tr w:rsidR="00E63D3E" w:rsidRPr="00512BE3" w14:paraId="44D31C99"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0EC7AB05"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April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8A241" w14:textId="0F33E32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1.733.040.525,34 </w:t>
            </w:r>
          </w:p>
        </w:tc>
        <w:tc>
          <w:tcPr>
            <w:tcW w:w="0" w:type="auto"/>
            <w:tcBorders>
              <w:top w:val="single" w:sz="4" w:space="0" w:color="auto"/>
              <w:left w:val="nil"/>
              <w:bottom w:val="single" w:sz="4" w:space="0" w:color="auto"/>
              <w:right w:val="nil"/>
            </w:tcBorders>
            <w:shd w:val="clear" w:color="auto" w:fill="C0C0C0"/>
            <w:noWrap/>
            <w:vAlign w:val="center"/>
          </w:tcPr>
          <w:p w14:paraId="09755D60"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BE378" w14:textId="1BB2DCE2"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2.398.350.413,04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A26A40" w14:textId="55E2A7B0"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138,39%</w:t>
            </w:r>
          </w:p>
        </w:tc>
      </w:tr>
      <w:tr w:rsidR="00E63D3E" w:rsidRPr="00512BE3" w14:paraId="0C364DB6"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71FD0374"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Maj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A6C3C" w14:textId="526A057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1.716.968.141,82 </w:t>
            </w:r>
          </w:p>
        </w:tc>
        <w:tc>
          <w:tcPr>
            <w:tcW w:w="0" w:type="auto"/>
            <w:tcBorders>
              <w:top w:val="single" w:sz="4" w:space="0" w:color="auto"/>
              <w:left w:val="nil"/>
              <w:bottom w:val="single" w:sz="4" w:space="0" w:color="auto"/>
              <w:right w:val="nil"/>
            </w:tcBorders>
            <w:shd w:val="clear" w:color="auto" w:fill="C0C0C0"/>
            <w:noWrap/>
            <w:vAlign w:val="center"/>
          </w:tcPr>
          <w:p w14:paraId="7D96ED45"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9681B" w14:textId="2B7071D1"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2.475.721.742,05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BB86FC" w14:textId="7248772C"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144,19%</w:t>
            </w:r>
          </w:p>
        </w:tc>
      </w:tr>
      <w:tr w:rsidR="00E63D3E" w:rsidRPr="00512BE3" w14:paraId="705319B3"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1A5002A1"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rPr>
              <w:t>Juni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1A738" w14:textId="3D2E9565"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1.848.524.438,05 </w:t>
            </w:r>
          </w:p>
        </w:tc>
        <w:tc>
          <w:tcPr>
            <w:tcW w:w="0" w:type="auto"/>
            <w:tcBorders>
              <w:top w:val="single" w:sz="4" w:space="0" w:color="auto"/>
              <w:left w:val="nil"/>
              <w:bottom w:val="single" w:sz="4" w:space="0" w:color="auto"/>
              <w:right w:val="nil"/>
            </w:tcBorders>
            <w:shd w:val="clear" w:color="auto" w:fill="C0C0C0"/>
            <w:noWrap/>
            <w:vAlign w:val="center"/>
          </w:tcPr>
          <w:p w14:paraId="2AF8C2D2"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6C3F7" w14:textId="5A524EE9"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2.643.952.222,75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A88DC2" w14:textId="76AC4BD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143,03%</w:t>
            </w:r>
          </w:p>
        </w:tc>
      </w:tr>
      <w:tr w:rsidR="00E63D3E" w:rsidRPr="00512BE3" w14:paraId="2268FC96"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3F0DDA25"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rPr>
              <w:t>Juli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6897F" w14:textId="34DD355B"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1.951.625.993,60 </w:t>
            </w:r>
          </w:p>
        </w:tc>
        <w:tc>
          <w:tcPr>
            <w:tcW w:w="0" w:type="auto"/>
            <w:tcBorders>
              <w:top w:val="single" w:sz="4" w:space="0" w:color="auto"/>
              <w:left w:val="nil"/>
              <w:bottom w:val="single" w:sz="4" w:space="0" w:color="auto"/>
              <w:right w:val="nil"/>
            </w:tcBorders>
            <w:shd w:val="clear" w:color="auto" w:fill="C0C0C0"/>
            <w:noWrap/>
            <w:vAlign w:val="center"/>
          </w:tcPr>
          <w:p w14:paraId="0B858EA1"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D6087" w14:textId="04D55663"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2.521.821.463,22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2CCAB4" w14:textId="7F2E3A55"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129,22%</w:t>
            </w:r>
          </w:p>
        </w:tc>
      </w:tr>
      <w:tr w:rsidR="00E63D3E" w:rsidRPr="00512BE3" w14:paraId="35B8B63D"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30AECBE1"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rPr>
              <w:t>Avgust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031DB" w14:textId="3B9659CD"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1.782.445.085,45 </w:t>
            </w:r>
          </w:p>
        </w:tc>
        <w:tc>
          <w:tcPr>
            <w:tcW w:w="0" w:type="auto"/>
            <w:tcBorders>
              <w:top w:val="single" w:sz="4" w:space="0" w:color="auto"/>
              <w:left w:val="nil"/>
              <w:bottom w:val="single" w:sz="4" w:space="0" w:color="auto"/>
              <w:right w:val="nil"/>
            </w:tcBorders>
            <w:shd w:val="clear" w:color="auto" w:fill="C0C0C0"/>
            <w:noWrap/>
            <w:vAlign w:val="center"/>
          </w:tcPr>
          <w:p w14:paraId="1A158477"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77DE8" w14:textId="085001E6"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2.389.391.670,59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F5FB5B" w14:textId="52290C30"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134,05%</w:t>
            </w:r>
          </w:p>
        </w:tc>
      </w:tr>
      <w:tr w:rsidR="00E63D3E" w:rsidRPr="00512BE3" w14:paraId="66344705"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0A341662"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Septembar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4B6760" w14:textId="208AC30C"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2.042.094.653,02 </w:t>
            </w:r>
          </w:p>
        </w:tc>
        <w:tc>
          <w:tcPr>
            <w:tcW w:w="0" w:type="auto"/>
            <w:tcBorders>
              <w:top w:val="single" w:sz="4" w:space="0" w:color="auto"/>
              <w:left w:val="nil"/>
              <w:bottom w:val="single" w:sz="4" w:space="0" w:color="auto"/>
              <w:right w:val="nil"/>
            </w:tcBorders>
            <w:shd w:val="clear" w:color="auto" w:fill="C0C0C0"/>
            <w:noWrap/>
            <w:vAlign w:val="center"/>
          </w:tcPr>
          <w:p w14:paraId="66C98312"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64864" w14:textId="32EC22C1"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2.706.719.449,12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041205" w14:textId="56B2F823"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132,55%</w:t>
            </w:r>
          </w:p>
        </w:tc>
      </w:tr>
      <w:tr w:rsidR="00E63D3E" w:rsidRPr="00512BE3" w14:paraId="276C2FDF"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7E9578BC"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Oktobar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5B00B" w14:textId="165CB191"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2.068.169.283,63 </w:t>
            </w:r>
          </w:p>
        </w:tc>
        <w:tc>
          <w:tcPr>
            <w:tcW w:w="0" w:type="auto"/>
            <w:tcBorders>
              <w:top w:val="single" w:sz="4" w:space="0" w:color="auto"/>
              <w:left w:val="nil"/>
              <w:bottom w:val="single" w:sz="4" w:space="0" w:color="auto"/>
              <w:right w:val="nil"/>
            </w:tcBorders>
            <w:shd w:val="clear" w:color="auto" w:fill="C0C0C0"/>
            <w:noWrap/>
            <w:vAlign w:val="center"/>
          </w:tcPr>
          <w:p w14:paraId="577F77A0"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D28F7" w14:textId="5D0F5BAD"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2.576.606.892,30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B95E88" w14:textId="09F203AB"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124,58%</w:t>
            </w:r>
          </w:p>
        </w:tc>
      </w:tr>
      <w:tr w:rsidR="00E63D3E" w:rsidRPr="00512BE3" w14:paraId="7E54B203"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7C7534C8"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Novembar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6D464" w14:textId="20C108CE"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2.152.515.385,68 </w:t>
            </w:r>
          </w:p>
        </w:tc>
        <w:tc>
          <w:tcPr>
            <w:tcW w:w="0" w:type="auto"/>
            <w:tcBorders>
              <w:top w:val="single" w:sz="4" w:space="0" w:color="auto"/>
              <w:left w:val="nil"/>
              <w:bottom w:val="single" w:sz="4" w:space="0" w:color="auto"/>
              <w:right w:val="nil"/>
            </w:tcBorders>
            <w:shd w:val="clear" w:color="auto" w:fill="C0C0C0"/>
            <w:noWrap/>
            <w:vAlign w:val="center"/>
          </w:tcPr>
          <w:p w14:paraId="64BEE45B"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B63B5" w14:textId="6094A1A4"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2.511.259.102,55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3CD8C5" w14:textId="363BE7FB"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116,67%</w:t>
            </w:r>
          </w:p>
        </w:tc>
      </w:tr>
      <w:tr w:rsidR="00E63D3E" w:rsidRPr="00512BE3" w14:paraId="33E3AF7B"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14:paraId="123E22FD"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Decembar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10E29" w14:textId="27ECF43F"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2.166.019.909,79 </w:t>
            </w:r>
          </w:p>
        </w:tc>
        <w:tc>
          <w:tcPr>
            <w:tcW w:w="0" w:type="auto"/>
            <w:tcBorders>
              <w:top w:val="single" w:sz="4" w:space="0" w:color="auto"/>
              <w:left w:val="nil"/>
              <w:bottom w:val="single" w:sz="4" w:space="0" w:color="auto"/>
              <w:right w:val="nil"/>
            </w:tcBorders>
            <w:shd w:val="clear" w:color="auto" w:fill="C0C0C0"/>
            <w:noWrap/>
            <w:vAlign w:val="center"/>
          </w:tcPr>
          <w:p w14:paraId="13193B53"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59F84" w14:textId="211937EF"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2.470.767.704,78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4C565EA" w14:textId="52EE1C30"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114,07%</w:t>
            </w:r>
          </w:p>
        </w:tc>
      </w:tr>
      <w:tr w:rsidR="00E63D3E" w:rsidRPr="00512BE3" w14:paraId="63340CAF" w14:textId="77777777" w:rsidTr="00F23763">
        <w:trPr>
          <w:trHeight w:val="300"/>
          <w:jc w:val="center"/>
        </w:trPr>
        <w:tc>
          <w:tcPr>
            <w:tcW w:w="0" w:type="auto"/>
            <w:tcBorders>
              <w:top w:val="nil"/>
              <w:left w:val="single" w:sz="4" w:space="0" w:color="auto"/>
              <w:bottom w:val="single" w:sz="4" w:space="0" w:color="auto"/>
              <w:right w:val="single" w:sz="4" w:space="0" w:color="auto"/>
            </w:tcBorders>
            <w:shd w:val="clear" w:color="auto" w:fill="C0C0C0"/>
            <w:noWrap/>
            <w:vAlign w:val="center"/>
          </w:tcPr>
          <w:p w14:paraId="40CFC39F"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Ukupno:</w:t>
            </w: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14:paraId="7D907E9A" w14:textId="16A0E4EB"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xml:space="preserve">      21.946.865.799,02 </w:t>
            </w:r>
          </w:p>
        </w:tc>
        <w:tc>
          <w:tcPr>
            <w:tcW w:w="0" w:type="auto"/>
            <w:tcBorders>
              <w:top w:val="single" w:sz="4" w:space="0" w:color="auto"/>
              <w:left w:val="nil"/>
              <w:bottom w:val="single" w:sz="4" w:space="0" w:color="auto"/>
              <w:right w:val="single" w:sz="4" w:space="0" w:color="auto"/>
            </w:tcBorders>
            <w:shd w:val="clear" w:color="auto" w:fill="C0C0C0"/>
            <w:noWrap/>
            <w:vAlign w:val="center"/>
          </w:tcPr>
          <w:p w14:paraId="2B55E3F7"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C0C0C0"/>
            <w:noWrap/>
            <w:vAlign w:val="center"/>
          </w:tcPr>
          <w:p w14:paraId="191744B0" w14:textId="3653D3F5"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xml:space="preserve">      29.119.449.123,63 </w:t>
            </w:r>
          </w:p>
        </w:tc>
        <w:tc>
          <w:tcPr>
            <w:tcW w:w="0" w:type="auto"/>
            <w:tcBorders>
              <w:top w:val="single" w:sz="4" w:space="0" w:color="auto"/>
              <w:left w:val="nil"/>
              <w:bottom w:val="single" w:sz="4" w:space="0" w:color="auto"/>
              <w:right w:val="single" w:sz="4" w:space="0" w:color="auto"/>
            </w:tcBorders>
            <w:shd w:val="clear" w:color="auto" w:fill="C0C0C0"/>
            <w:noWrap/>
            <w:vAlign w:val="center"/>
          </w:tcPr>
          <w:p w14:paraId="2CB2D221" w14:textId="4E825283"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132,68%</w:t>
            </w:r>
          </w:p>
        </w:tc>
      </w:tr>
    </w:tbl>
    <w:bookmarkEnd w:id="32"/>
    <w:p w14:paraId="529D1001" w14:textId="77777777" w:rsidR="0089642B" w:rsidRPr="00512BE3" w:rsidRDefault="0089642B" w:rsidP="0089642B">
      <w:pPr>
        <w:ind w:firstLine="720"/>
        <w:jc w:val="center"/>
        <w:rPr>
          <w:b/>
          <w:sz w:val="16"/>
          <w:szCs w:val="16"/>
          <w:u w:val="single"/>
        </w:rPr>
      </w:pPr>
      <w:r w:rsidRPr="00512BE3">
        <w:rPr>
          <w:b/>
          <w:sz w:val="16"/>
          <w:szCs w:val="16"/>
          <w:u w:val="single"/>
        </w:rPr>
        <w:t>IZVOZ</w:t>
      </w:r>
    </w:p>
    <w:p w14:paraId="6E7BC9C2" w14:textId="6E0E558F" w:rsidR="0089642B" w:rsidRPr="00512BE3" w:rsidRDefault="0089642B" w:rsidP="0089642B">
      <w:pPr>
        <w:ind w:firstLine="720"/>
        <w:rPr>
          <w:b/>
          <w:sz w:val="16"/>
          <w:szCs w:val="16"/>
        </w:rPr>
      </w:pPr>
      <w:r w:rsidRPr="00512BE3">
        <w:rPr>
          <w:b/>
          <w:sz w:val="16"/>
          <w:szCs w:val="16"/>
        </w:rPr>
        <w:t xml:space="preserve">                                </w:t>
      </w:r>
      <w:r w:rsidR="00E63D3E" w:rsidRPr="00512BE3">
        <w:rPr>
          <w:b/>
          <w:sz w:val="16"/>
          <w:szCs w:val="16"/>
        </w:rPr>
        <w:t xml:space="preserve">                        2021</w:t>
      </w:r>
      <w:r w:rsidRPr="00512BE3">
        <w:rPr>
          <w:b/>
          <w:sz w:val="16"/>
          <w:szCs w:val="16"/>
        </w:rPr>
        <w:t xml:space="preserve">                                                              20</w:t>
      </w:r>
      <w:r w:rsidR="00E63D3E" w:rsidRPr="00512BE3">
        <w:rPr>
          <w:b/>
          <w:sz w:val="16"/>
          <w:szCs w:val="16"/>
        </w:rPr>
        <w:t>22</w:t>
      </w:r>
    </w:p>
    <w:tbl>
      <w:tblPr>
        <w:tblW w:w="0" w:type="auto"/>
        <w:jc w:val="center"/>
        <w:tblLook w:val="0000" w:firstRow="0" w:lastRow="0" w:firstColumn="0" w:lastColumn="0" w:noHBand="0" w:noVBand="0"/>
      </w:tblPr>
      <w:tblGrid>
        <w:gridCol w:w="1043"/>
        <w:gridCol w:w="1640"/>
        <w:gridCol w:w="261"/>
        <w:gridCol w:w="1976"/>
        <w:gridCol w:w="1276"/>
      </w:tblGrid>
      <w:tr w:rsidR="0089642B" w:rsidRPr="00512BE3" w14:paraId="5120100A"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tcPr>
          <w:p w14:paraId="1DF7F7B0"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Mjesec</w:t>
            </w:r>
          </w:p>
        </w:tc>
        <w:tc>
          <w:tcPr>
            <w:tcW w:w="0" w:type="auto"/>
            <w:tcBorders>
              <w:top w:val="single" w:sz="4" w:space="0" w:color="auto"/>
              <w:left w:val="nil"/>
              <w:bottom w:val="single" w:sz="4" w:space="0" w:color="auto"/>
              <w:right w:val="single" w:sz="4" w:space="0" w:color="auto"/>
            </w:tcBorders>
            <w:shd w:val="clear" w:color="000000" w:fill="C0C0C0"/>
            <w:noWrap/>
            <w:vAlign w:val="bottom"/>
          </w:tcPr>
          <w:p w14:paraId="4CE5D71B"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Vrijednost  KM</w:t>
            </w:r>
          </w:p>
        </w:tc>
        <w:tc>
          <w:tcPr>
            <w:tcW w:w="0" w:type="auto"/>
            <w:tcBorders>
              <w:top w:val="single" w:sz="4" w:space="0" w:color="auto"/>
              <w:left w:val="nil"/>
              <w:bottom w:val="single" w:sz="4" w:space="0" w:color="auto"/>
              <w:right w:val="nil"/>
            </w:tcBorders>
            <w:shd w:val="clear" w:color="auto" w:fill="C0C0C0"/>
            <w:noWrap/>
            <w:vAlign w:val="bottom"/>
          </w:tcPr>
          <w:p w14:paraId="2879FB2E" w14:textId="77777777" w:rsidR="0089642B" w:rsidRPr="00512BE3" w:rsidRDefault="0089642B" w:rsidP="00F23763">
            <w:pPr>
              <w:rPr>
                <w:rFonts w:ascii="Arial" w:hAnsi="Arial" w:cs="Arial"/>
                <w:color w:val="000000"/>
                <w:sz w:val="16"/>
                <w:szCs w:val="16"/>
              </w:rPr>
            </w:pPr>
            <w:r w:rsidRPr="00512BE3">
              <w:rPr>
                <w:rFonts w:ascii="Arial" w:hAnsi="Arial" w:cs="Arial"/>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6AA5DB6A"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Vrijednost  KM</w:t>
            </w:r>
          </w:p>
        </w:tc>
        <w:tc>
          <w:tcPr>
            <w:tcW w:w="1276" w:type="dxa"/>
            <w:tcBorders>
              <w:top w:val="single" w:sz="4" w:space="0" w:color="auto"/>
              <w:left w:val="nil"/>
              <w:bottom w:val="single" w:sz="4" w:space="0" w:color="auto"/>
              <w:right w:val="single" w:sz="4" w:space="0" w:color="auto"/>
            </w:tcBorders>
            <w:shd w:val="clear" w:color="000000" w:fill="C0C0C0"/>
            <w:noWrap/>
            <w:vAlign w:val="bottom"/>
          </w:tcPr>
          <w:p w14:paraId="77DF6B30" w14:textId="77777777" w:rsidR="0089642B" w:rsidRPr="00512BE3" w:rsidRDefault="0089642B" w:rsidP="00F23763">
            <w:pPr>
              <w:jc w:val="center"/>
              <w:rPr>
                <w:rFonts w:ascii="Arial" w:hAnsi="Arial" w:cs="Arial"/>
                <w:b/>
                <w:bCs/>
                <w:color w:val="000000"/>
                <w:sz w:val="16"/>
                <w:szCs w:val="16"/>
              </w:rPr>
            </w:pPr>
            <w:r w:rsidRPr="00512BE3">
              <w:rPr>
                <w:rFonts w:ascii="Arial" w:hAnsi="Arial" w:cs="Arial"/>
                <w:b/>
                <w:bCs/>
                <w:color w:val="000000"/>
                <w:sz w:val="16"/>
                <w:szCs w:val="16"/>
              </w:rPr>
              <w:t>Odnos 21/20</w:t>
            </w:r>
          </w:p>
        </w:tc>
      </w:tr>
      <w:tr w:rsidR="00E63D3E" w:rsidRPr="00512BE3" w14:paraId="6A6E29EE"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5614365C"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Januar</w:t>
            </w:r>
          </w:p>
        </w:tc>
        <w:tc>
          <w:tcPr>
            <w:tcW w:w="0" w:type="auto"/>
            <w:tcBorders>
              <w:top w:val="single" w:sz="4" w:space="0" w:color="auto"/>
              <w:left w:val="nil"/>
              <w:bottom w:val="single" w:sz="4" w:space="0" w:color="auto"/>
              <w:right w:val="single" w:sz="4" w:space="0" w:color="auto"/>
            </w:tcBorders>
            <w:shd w:val="clear" w:color="auto" w:fill="auto"/>
            <w:vAlign w:val="center"/>
          </w:tcPr>
          <w:p w14:paraId="60764262" w14:textId="33FB3375"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907.671.045,03 </w:t>
            </w:r>
          </w:p>
        </w:tc>
        <w:tc>
          <w:tcPr>
            <w:tcW w:w="0" w:type="auto"/>
            <w:tcBorders>
              <w:top w:val="single" w:sz="4" w:space="0" w:color="auto"/>
              <w:left w:val="nil"/>
              <w:bottom w:val="single" w:sz="4" w:space="0" w:color="auto"/>
              <w:right w:val="nil"/>
            </w:tcBorders>
            <w:shd w:val="clear" w:color="auto" w:fill="C0C0C0"/>
            <w:noWrap/>
            <w:vAlign w:val="center"/>
          </w:tcPr>
          <w:p w14:paraId="33DD9713"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6F975D7" w14:textId="2AEDD44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1.350.344.858,73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2A8CF3" w14:textId="68F60D6E"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148,77%</w:t>
            </w:r>
          </w:p>
        </w:tc>
      </w:tr>
      <w:tr w:rsidR="00E63D3E" w:rsidRPr="00512BE3" w14:paraId="1DE0DF69"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1F4B7FA2"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Februar</w:t>
            </w:r>
          </w:p>
        </w:tc>
        <w:tc>
          <w:tcPr>
            <w:tcW w:w="0" w:type="auto"/>
            <w:tcBorders>
              <w:top w:val="single" w:sz="4" w:space="0" w:color="auto"/>
              <w:left w:val="nil"/>
              <w:bottom w:val="single" w:sz="4" w:space="0" w:color="auto"/>
              <w:right w:val="single" w:sz="4" w:space="0" w:color="auto"/>
            </w:tcBorders>
            <w:shd w:val="clear" w:color="auto" w:fill="auto"/>
            <w:vAlign w:val="center"/>
          </w:tcPr>
          <w:p w14:paraId="2E6C1A1B" w14:textId="463BED0D"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1.055.520.746,18 </w:t>
            </w:r>
          </w:p>
        </w:tc>
        <w:tc>
          <w:tcPr>
            <w:tcW w:w="0" w:type="auto"/>
            <w:tcBorders>
              <w:top w:val="single" w:sz="4" w:space="0" w:color="auto"/>
              <w:left w:val="nil"/>
              <w:bottom w:val="single" w:sz="4" w:space="0" w:color="auto"/>
              <w:right w:val="nil"/>
            </w:tcBorders>
            <w:shd w:val="clear" w:color="auto" w:fill="C0C0C0"/>
            <w:noWrap/>
            <w:vAlign w:val="center"/>
          </w:tcPr>
          <w:p w14:paraId="043256C1"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1A36CE88" w14:textId="172E7E17"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1.407.985.787,92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9DF586" w14:textId="5DDE3E3F"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133,39%</w:t>
            </w:r>
          </w:p>
        </w:tc>
      </w:tr>
      <w:tr w:rsidR="00E63D3E" w:rsidRPr="00512BE3" w14:paraId="67121B06"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56E78ECB"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Mart</w:t>
            </w:r>
          </w:p>
        </w:tc>
        <w:tc>
          <w:tcPr>
            <w:tcW w:w="0" w:type="auto"/>
            <w:tcBorders>
              <w:top w:val="single" w:sz="4" w:space="0" w:color="auto"/>
              <w:left w:val="nil"/>
              <w:bottom w:val="single" w:sz="4" w:space="0" w:color="auto"/>
              <w:right w:val="single" w:sz="4" w:space="0" w:color="auto"/>
            </w:tcBorders>
            <w:shd w:val="clear" w:color="auto" w:fill="auto"/>
            <w:vAlign w:val="center"/>
          </w:tcPr>
          <w:p w14:paraId="0C5DDECF" w14:textId="57327E19"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1.192.218.795,70 </w:t>
            </w:r>
          </w:p>
        </w:tc>
        <w:tc>
          <w:tcPr>
            <w:tcW w:w="0" w:type="auto"/>
            <w:tcBorders>
              <w:top w:val="single" w:sz="4" w:space="0" w:color="auto"/>
              <w:left w:val="nil"/>
              <w:bottom w:val="single" w:sz="4" w:space="0" w:color="auto"/>
              <w:right w:val="nil"/>
            </w:tcBorders>
            <w:shd w:val="clear" w:color="auto" w:fill="C0C0C0"/>
            <w:noWrap/>
            <w:vAlign w:val="center"/>
          </w:tcPr>
          <w:p w14:paraId="0839759B"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1F617CF3" w14:textId="4F33CB2F"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1.634.689.345,45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032E3F" w14:textId="474993FD"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137,11%</w:t>
            </w:r>
          </w:p>
        </w:tc>
      </w:tr>
      <w:tr w:rsidR="00E63D3E" w:rsidRPr="00512BE3" w14:paraId="3654A054"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3CA3A400"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April</w:t>
            </w:r>
          </w:p>
        </w:tc>
        <w:tc>
          <w:tcPr>
            <w:tcW w:w="0" w:type="auto"/>
            <w:tcBorders>
              <w:top w:val="single" w:sz="4" w:space="0" w:color="auto"/>
              <w:left w:val="nil"/>
              <w:bottom w:val="single" w:sz="4" w:space="0" w:color="auto"/>
              <w:right w:val="single" w:sz="4" w:space="0" w:color="auto"/>
            </w:tcBorders>
            <w:shd w:val="clear" w:color="auto" w:fill="auto"/>
            <w:vAlign w:val="center"/>
          </w:tcPr>
          <w:p w14:paraId="6CD76046" w14:textId="25D9FC43"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1.133.189.559,86 </w:t>
            </w:r>
          </w:p>
        </w:tc>
        <w:tc>
          <w:tcPr>
            <w:tcW w:w="0" w:type="auto"/>
            <w:tcBorders>
              <w:top w:val="single" w:sz="4" w:space="0" w:color="auto"/>
              <w:left w:val="nil"/>
              <w:bottom w:val="single" w:sz="4" w:space="0" w:color="auto"/>
              <w:right w:val="nil"/>
            </w:tcBorders>
            <w:shd w:val="clear" w:color="auto" w:fill="C0C0C0"/>
            <w:noWrap/>
            <w:vAlign w:val="center"/>
          </w:tcPr>
          <w:p w14:paraId="1D955A30"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05B1A78D" w14:textId="7E590817"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1.630.506.082,45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7583F9" w14:textId="45810C99"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143,89%</w:t>
            </w:r>
          </w:p>
        </w:tc>
      </w:tr>
      <w:tr w:rsidR="00E63D3E" w:rsidRPr="00512BE3" w14:paraId="47F964B5"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67978B2F"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Maj</w:t>
            </w:r>
          </w:p>
        </w:tc>
        <w:tc>
          <w:tcPr>
            <w:tcW w:w="0" w:type="auto"/>
            <w:tcBorders>
              <w:top w:val="single" w:sz="4" w:space="0" w:color="auto"/>
              <w:left w:val="nil"/>
              <w:bottom w:val="single" w:sz="4" w:space="0" w:color="auto"/>
              <w:right w:val="single" w:sz="4" w:space="0" w:color="auto"/>
            </w:tcBorders>
            <w:shd w:val="clear" w:color="auto" w:fill="auto"/>
            <w:vAlign w:val="center"/>
          </w:tcPr>
          <w:p w14:paraId="3BC36DA8" w14:textId="019ADB7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1.088.369.087,83 </w:t>
            </w:r>
          </w:p>
        </w:tc>
        <w:tc>
          <w:tcPr>
            <w:tcW w:w="0" w:type="auto"/>
            <w:tcBorders>
              <w:top w:val="single" w:sz="4" w:space="0" w:color="auto"/>
              <w:left w:val="nil"/>
              <w:bottom w:val="single" w:sz="4" w:space="0" w:color="auto"/>
              <w:right w:val="nil"/>
            </w:tcBorders>
            <w:shd w:val="clear" w:color="auto" w:fill="C0C0C0"/>
            <w:noWrap/>
            <w:vAlign w:val="center"/>
          </w:tcPr>
          <w:p w14:paraId="535288DE"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20598764" w14:textId="1008F81D"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1.644.438.364,40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ABB988" w14:textId="34A5613A"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151,09%</w:t>
            </w:r>
          </w:p>
        </w:tc>
      </w:tr>
      <w:tr w:rsidR="00E63D3E" w:rsidRPr="00512BE3" w14:paraId="58A1969C"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4599467A"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rPr>
              <w:t>Juni</w:t>
            </w:r>
          </w:p>
        </w:tc>
        <w:tc>
          <w:tcPr>
            <w:tcW w:w="0" w:type="auto"/>
            <w:tcBorders>
              <w:top w:val="single" w:sz="4" w:space="0" w:color="auto"/>
              <w:left w:val="nil"/>
              <w:bottom w:val="single" w:sz="4" w:space="0" w:color="auto"/>
              <w:right w:val="single" w:sz="4" w:space="0" w:color="auto"/>
            </w:tcBorders>
            <w:shd w:val="clear" w:color="auto" w:fill="auto"/>
            <w:vAlign w:val="center"/>
          </w:tcPr>
          <w:p w14:paraId="24317E2E" w14:textId="7B914B72"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1.288.420.488,77 </w:t>
            </w:r>
          </w:p>
        </w:tc>
        <w:tc>
          <w:tcPr>
            <w:tcW w:w="0" w:type="auto"/>
            <w:tcBorders>
              <w:top w:val="single" w:sz="4" w:space="0" w:color="auto"/>
              <w:left w:val="nil"/>
              <w:bottom w:val="single" w:sz="4" w:space="0" w:color="auto"/>
              <w:right w:val="nil"/>
            </w:tcBorders>
            <w:shd w:val="clear" w:color="auto" w:fill="C0C0C0"/>
            <w:noWrap/>
            <w:vAlign w:val="center"/>
          </w:tcPr>
          <w:p w14:paraId="19C2659B"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1C0BC4E" w14:textId="6DAAF8B7"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1.614.139.928,14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04E3BC" w14:textId="55557DC5"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125,28%</w:t>
            </w:r>
          </w:p>
        </w:tc>
      </w:tr>
      <w:tr w:rsidR="00E63D3E" w:rsidRPr="00512BE3" w14:paraId="6802E52D"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4A1BCD6A"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Juli</w:t>
            </w:r>
          </w:p>
        </w:tc>
        <w:tc>
          <w:tcPr>
            <w:tcW w:w="0" w:type="auto"/>
            <w:tcBorders>
              <w:top w:val="single" w:sz="4" w:space="0" w:color="auto"/>
              <w:left w:val="nil"/>
              <w:bottom w:val="single" w:sz="4" w:space="0" w:color="auto"/>
              <w:right w:val="single" w:sz="4" w:space="0" w:color="auto"/>
            </w:tcBorders>
            <w:shd w:val="clear" w:color="auto" w:fill="auto"/>
            <w:vAlign w:val="center"/>
          </w:tcPr>
          <w:p w14:paraId="27A4472E" w14:textId="2A093A07"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1.209.350.675,63 </w:t>
            </w:r>
          </w:p>
        </w:tc>
        <w:tc>
          <w:tcPr>
            <w:tcW w:w="0" w:type="auto"/>
            <w:tcBorders>
              <w:top w:val="single" w:sz="4" w:space="0" w:color="auto"/>
              <w:left w:val="nil"/>
              <w:bottom w:val="single" w:sz="4" w:space="0" w:color="auto"/>
              <w:right w:val="nil"/>
            </w:tcBorders>
            <w:shd w:val="clear" w:color="auto" w:fill="C0C0C0"/>
            <w:noWrap/>
            <w:vAlign w:val="center"/>
          </w:tcPr>
          <w:p w14:paraId="644B8A39"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10296BB" w14:textId="2353B75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1.504.607.167,91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5D5E99" w14:textId="62294943"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124,41%</w:t>
            </w:r>
          </w:p>
        </w:tc>
      </w:tr>
      <w:tr w:rsidR="00E63D3E" w:rsidRPr="00512BE3" w14:paraId="3B3846AC"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521EE822"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Avgust</w:t>
            </w:r>
          </w:p>
        </w:tc>
        <w:tc>
          <w:tcPr>
            <w:tcW w:w="0" w:type="auto"/>
            <w:tcBorders>
              <w:top w:val="single" w:sz="4" w:space="0" w:color="auto"/>
              <w:left w:val="nil"/>
              <w:bottom w:val="single" w:sz="4" w:space="0" w:color="auto"/>
              <w:right w:val="single" w:sz="4" w:space="0" w:color="auto"/>
            </w:tcBorders>
            <w:shd w:val="clear" w:color="auto" w:fill="auto"/>
            <w:vAlign w:val="center"/>
          </w:tcPr>
          <w:p w14:paraId="06BC32B4" w14:textId="155CC4C9"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1.115.612.146,20 </w:t>
            </w:r>
          </w:p>
        </w:tc>
        <w:tc>
          <w:tcPr>
            <w:tcW w:w="0" w:type="auto"/>
            <w:tcBorders>
              <w:top w:val="single" w:sz="4" w:space="0" w:color="auto"/>
              <w:left w:val="nil"/>
              <w:bottom w:val="single" w:sz="4" w:space="0" w:color="auto"/>
              <w:right w:val="nil"/>
            </w:tcBorders>
            <w:shd w:val="clear" w:color="auto" w:fill="C0C0C0"/>
            <w:noWrap/>
            <w:vAlign w:val="center"/>
          </w:tcPr>
          <w:p w14:paraId="7CF1C867"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2A20D47" w14:textId="5DE1EBFE"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1.376.333.665,25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E4525A" w14:textId="625A81A0"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123,37%</w:t>
            </w:r>
          </w:p>
        </w:tc>
      </w:tr>
      <w:tr w:rsidR="00E63D3E" w:rsidRPr="00512BE3" w14:paraId="4F0B9E8A"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78FC179D"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Septembar</w:t>
            </w:r>
          </w:p>
        </w:tc>
        <w:tc>
          <w:tcPr>
            <w:tcW w:w="0" w:type="auto"/>
            <w:tcBorders>
              <w:top w:val="single" w:sz="4" w:space="0" w:color="auto"/>
              <w:left w:val="nil"/>
              <w:bottom w:val="single" w:sz="4" w:space="0" w:color="auto"/>
              <w:right w:val="single" w:sz="4" w:space="0" w:color="auto"/>
            </w:tcBorders>
            <w:shd w:val="clear" w:color="auto" w:fill="auto"/>
            <w:vAlign w:val="center"/>
          </w:tcPr>
          <w:p w14:paraId="7A22C7C9" w14:textId="568BC37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1.360.951.220,05 </w:t>
            </w:r>
          </w:p>
        </w:tc>
        <w:tc>
          <w:tcPr>
            <w:tcW w:w="0" w:type="auto"/>
            <w:tcBorders>
              <w:top w:val="single" w:sz="4" w:space="0" w:color="auto"/>
              <w:left w:val="nil"/>
              <w:bottom w:val="single" w:sz="4" w:space="0" w:color="auto"/>
              <w:right w:val="nil"/>
            </w:tcBorders>
            <w:shd w:val="clear" w:color="auto" w:fill="C0C0C0"/>
            <w:noWrap/>
            <w:vAlign w:val="center"/>
          </w:tcPr>
          <w:p w14:paraId="23575DA3"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9AFF42E" w14:textId="3C443675"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1.690.852.522,68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376ADF" w14:textId="6F13620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124,24%</w:t>
            </w:r>
          </w:p>
        </w:tc>
      </w:tr>
      <w:tr w:rsidR="00E63D3E" w:rsidRPr="00512BE3" w14:paraId="2FBD9438"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0BCDF073"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Oktobar</w:t>
            </w:r>
          </w:p>
        </w:tc>
        <w:tc>
          <w:tcPr>
            <w:tcW w:w="0" w:type="auto"/>
            <w:tcBorders>
              <w:top w:val="single" w:sz="4" w:space="0" w:color="auto"/>
              <w:left w:val="nil"/>
              <w:bottom w:val="single" w:sz="4" w:space="0" w:color="auto"/>
              <w:right w:val="single" w:sz="4" w:space="0" w:color="auto"/>
            </w:tcBorders>
            <w:shd w:val="clear" w:color="auto" w:fill="auto"/>
            <w:vAlign w:val="center"/>
          </w:tcPr>
          <w:p w14:paraId="768E16DC" w14:textId="277F9D0F"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1.381.507.165,61 </w:t>
            </w:r>
          </w:p>
        </w:tc>
        <w:tc>
          <w:tcPr>
            <w:tcW w:w="0" w:type="auto"/>
            <w:tcBorders>
              <w:top w:val="single" w:sz="4" w:space="0" w:color="auto"/>
              <w:left w:val="nil"/>
              <w:bottom w:val="single" w:sz="4" w:space="0" w:color="auto"/>
              <w:right w:val="nil"/>
            </w:tcBorders>
            <w:shd w:val="clear" w:color="auto" w:fill="C0C0C0"/>
            <w:noWrap/>
            <w:vAlign w:val="center"/>
          </w:tcPr>
          <w:p w14:paraId="440FE0C5"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302EC04E" w14:textId="24A70CDD"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1.550.115.249,05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9448E8" w14:textId="5868F189"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112,20%</w:t>
            </w:r>
          </w:p>
        </w:tc>
      </w:tr>
      <w:tr w:rsidR="00E63D3E" w:rsidRPr="00512BE3" w14:paraId="51007E56"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16EBFB11"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Novembar</w:t>
            </w:r>
          </w:p>
        </w:tc>
        <w:tc>
          <w:tcPr>
            <w:tcW w:w="0" w:type="auto"/>
            <w:tcBorders>
              <w:top w:val="single" w:sz="4" w:space="0" w:color="auto"/>
              <w:left w:val="nil"/>
              <w:bottom w:val="single" w:sz="4" w:space="0" w:color="auto"/>
              <w:right w:val="single" w:sz="4" w:space="0" w:color="auto"/>
            </w:tcBorders>
            <w:shd w:val="clear" w:color="auto" w:fill="auto"/>
            <w:vAlign w:val="center"/>
          </w:tcPr>
          <w:p w14:paraId="760B8307" w14:textId="0976AD4B"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1.486.972.924,67 </w:t>
            </w:r>
          </w:p>
        </w:tc>
        <w:tc>
          <w:tcPr>
            <w:tcW w:w="0" w:type="auto"/>
            <w:tcBorders>
              <w:top w:val="single" w:sz="4" w:space="0" w:color="auto"/>
              <w:left w:val="nil"/>
              <w:bottom w:val="single" w:sz="4" w:space="0" w:color="auto"/>
              <w:right w:val="nil"/>
            </w:tcBorders>
            <w:shd w:val="clear" w:color="auto" w:fill="C0C0C0"/>
            <w:noWrap/>
            <w:vAlign w:val="center"/>
          </w:tcPr>
          <w:p w14:paraId="32AEAB2A"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1E93B67" w14:textId="1E50049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1.553.604.490,47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98D3C2" w14:textId="1BF2DA88"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104,48%</w:t>
            </w:r>
          </w:p>
        </w:tc>
      </w:tr>
      <w:tr w:rsidR="00E63D3E" w:rsidRPr="00512BE3" w14:paraId="02F8EFC8" w14:textId="77777777" w:rsidTr="00F2376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bottom"/>
          </w:tcPr>
          <w:p w14:paraId="1AFB8050" w14:textId="77777777" w:rsidR="00E63D3E" w:rsidRPr="00512BE3" w:rsidRDefault="00E63D3E" w:rsidP="00E63D3E">
            <w:pPr>
              <w:jc w:val="center"/>
              <w:rPr>
                <w:rFonts w:ascii="Arial" w:hAnsi="Arial" w:cs="Arial"/>
                <w:b/>
                <w:bCs/>
                <w:color w:val="000000"/>
                <w:sz w:val="16"/>
                <w:szCs w:val="16"/>
                <w:lang w:val="sr-Cyrl-BA"/>
              </w:rPr>
            </w:pPr>
            <w:r w:rsidRPr="00512BE3">
              <w:rPr>
                <w:rFonts w:ascii="Arial" w:hAnsi="Arial" w:cs="Arial"/>
                <w:b/>
                <w:bCs/>
                <w:color w:val="000000"/>
                <w:sz w:val="16"/>
                <w:szCs w:val="16"/>
                <w:lang w:val="sr-Cyrl-BA"/>
              </w:rPr>
              <w:t>Decembar</w:t>
            </w:r>
          </w:p>
        </w:tc>
        <w:tc>
          <w:tcPr>
            <w:tcW w:w="0" w:type="auto"/>
            <w:tcBorders>
              <w:top w:val="single" w:sz="4" w:space="0" w:color="auto"/>
              <w:left w:val="nil"/>
              <w:bottom w:val="single" w:sz="4" w:space="0" w:color="auto"/>
              <w:right w:val="single" w:sz="4" w:space="0" w:color="auto"/>
            </w:tcBorders>
            <w:shd w:val="clear" w:color="auto" w:fill="auto"/>
            <w:vAlign w:val="center"/>
          </w:tcPr>
          <w:p w14:paraId="3D763316" w14:textId="1ED4B638"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1.400.784.867,81 </w:t>
            </w:r>
          </w:p>
        </w:tc>
        <w:tc>
          <w:tcPr>
            <w:tcW w:w="0" w:type="auto"/>
            <w:tcBorders>
              <w:top w:val="single" w:sz="4" w:space="0" w:color="auto"/>
              <w:left w:val="nil"/>
              <w:bottom w:val="single" w:sz="4" w:space="0" w:color="auto"/>
              <w:right w:val="nil"/>
            </w:tcBorders>
            <w:shd w:val="clear" w:color="auto" w:fill="C0C0C0"/>
            <w:noWrap/>
            <w:vAlign w:val="center"/>
          </w:tcPr>
          <w:p w14:paraId="7A92AB68"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7C69B81" w14:textId="41A1DF96" w:rsidR="00E63D3E" w:rsidRPr="00512BE3" w:rsidRDefault="00E63D3E" w:rsidP="00E63D3E">
            <w:pPr>
              <w:jc w:val="right"/>
              <w:rPr>
                <w:rFonts w:ascii="Arial" w:hAnsi="Arial" w:cs="Arial"/>
                <w:color w:val="000000"/>
                <w:sz w:val="16"/>
                <w:szCs w:val="16"/>
              </w:rPr>
            </w:pPr>
            <w:r w:rsidRPr="00512BE3">
              <w:rPr>
                <w:rFonts w:ascii="Arial" w:hAnsi="Arial" w:cs="Arial"/>
                <w:color w:val="000000"/>
                <w:sz w:val="16"/>
                <w:szCs w:val="16"/>
              </w:rPr>
              <w:t xml:space="preserve">   1.420.339.322,28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48A544" w14:textId="1D36CB2E"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101,40%</w:t>
            </w:r>
          </w:p>
        </w:tc>
      </w:tr>
      <w:tr w:rsidR="00E63D3E" w:rsidRPr="00512BE3" w14:paraId="2E85DED2" w14:textId="77777777" w:rsidTr="00F23763">
        <w:trPr>
          <w:trHeight w:val="255"/>
          <w:jc w:val="center"/>
        </w:trPr>
        <w:tc>
          <w:tcPr>
            <w:tcW w:w="0" w:type="auto"/>
            <w:tcBorders>
              <w:top w:val="nil"/>
              <w:left w:val="single" w:sz="4" w:space="0" w:color="auto"/>
              <w:bottom w:val="single" w:sz="4" w:space="0" w:color="auto"/>
              <w:right w:val="single" w:sz="4" w:space="0" w:color="auto"/>
            </w:tcBorders>
            <w:shd w:val="clear" w:color="auto" w:fill="C0C0C0"/>
            <w:noWrap/>
            <w:vAlign w:val="bottom"/>
          </w:tcPr>
          <w:p w14:paraId="23138979" w14:textId="77777777" w:rsidR="00E63D3E" w:rsidRPr="00512BE3" w:rsidRDefault="00E63D3E" w:rsidP="00E63D3E">
            <w:pPr>
              <w:jc w:val="center"/>
              <w:rPr>
                <w:rFonts w:ascii="Arial" w:hAnsi="Arial" w:cs="Arial"/>
                <w:b/>
                <w:bCs/>
                <w:color w:val="000000"/>
                <w:sz w:val="16"/>
                <w:szCs w:val="16"/>
              </w:rPr>
            </w:pPr>
            <w:r w:rsidRPr="00512BE3">
              <w:rPr>
                <w:rFonts w:ascii="Arial" w:hAnsi="Arial" w:cs="Arial"/>
                <w:b/>
                <w:bCs/>
                <w:color w:val="000000"/>
                <w:sz w:val="16"/>
                <w:szCs w:val="16"/>
              </w:rPr>
              <w:t>Ukupno:</w:t>
            </w:r>
          </w:p>
        </w:tc>
        <w:tc>
          <w:tcPr>
            <w:tcW w:w="0" w:type="auto"/>
            <w:tcBorders>
              <w:top w:val="single" w:sz="4" w:space="0" w:color="auto"/>
              <w:left w:val="nil"/>
              <w:bottom w:val="single" w:sz="4" w:space="0" w:color="auto"/>
              <w:right w:val="single" w:sz="4" w:space="0" w:color="auto"/>
            </w:tcBorders>
            <w:shd w:val="clear" w:color="auto" w:fill="C0C0C0"/>
            <w:noWrap/>
            <w:vAlign w:val="center"/>
          </w:tcPr>
          <w:p w14:paraId="3F8DBB2E" w14:textId="1E135A48"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xml:space="preserve">  14.620.568.723,34 </w:t>
            </w:r>
          </w:p>
        </w:tc>
        <w:tc>
          <w:tcPr>
            <w:tcW w:w="0" w:type="auto"/>
            <w:tcBorders>
              <w:top w:val="single" w:sz="4" w:space="0" w:color="auto"/>
              <w:left w:val="nil"/>
              <w:bottom w:val="single" w:sz="4" w:space="0" w:color="auto"/>
              <w:right w:val="single" w:sz="4" w:space="0" w:color="auto"/>
            </w:tcBorders>
            <w:shd w:val="clear" w:color="auto" w:fill="C0C0C0"/>
            <w:noWrap/>
            <w:vAlign w:val="center"/>
          </w:tcPr>
          <w:p w14:paraId="3B52A47C" w14:textId="77777777"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w:t>
            </w:r>
          </w:p>
        </w:tc>
        <w:tc>
          <w:tcPr>
            <w:tcW w:w="1976" w:type="dxa"/>
            <w:tcBorders>
              <w:top w:val="single" w:sz="4" w:space="0" w:color="auto"/>
              <w:left w:val="nil"/>
              <w:bottom w:val="single" w:sz="4" w:space="0" w:color="auto"/>
              <w:right w:val="single" w:sz="4" w:space="0" w:color="auto"/>
            </w:tcBorders>
            <w:shd w:val="clear" w:color="auto" w:fill="C0C0C0"/>
            <w:noWrap/>
            <w:vAlign w:val="center"/>
          </w:tcPr>
          <w:p w14:paraId="6C7CFB8A" w14:textId="781DB77A"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 xml:space="preserve"> 18.377.956.784,73 </w:t>
            </w:r>
          </w:p>
        </w:tc>
        <w:tc>
          <w:tcPr>
            <w:tcW w:w="1276" w:type="dxa"/>
            <w:tcBorders>
              <w:top w:val="nil"/>
              <w:left w:val="nil"/>
              <w:bottom w:val="single" w:sz="4" w:space="0" w:color="auto"/>
              <w:right w:val="single" w:sz="4" w:space="0" w:color="auto"/>
            </w:tcBorders>
            <w:shd w:val="clear" w:color="auto" w:fill="C0C0C0"/>
            <w:noWrap/>
            <w:vAlign w:val="center"/>
          </w:tcPr>
          <w:p w14:paraId="11CADCD0" w14:textId="1D80E76E" w:rsidR="00E63D3E" w:rsidRPr="00512BE3" w:rsidRDefault="00E63D3E" w:rsidP="00E63D3E">
            <w:pPr>
              <w:jc w:val="right"/>
              <w:rPr>
                <w:rFonts w:ascii="Arial" w:hAnsi="Arial" w:cs="Arial"/>
                <w:b/>
                <w:bCs/>
                <w:color w:val="000000"/>
                <w:sz w:val="16"/>
                <w:szCs w:val="16"/>
              </w:rPr>
            </w:pPr>
            <w:r w:rsidRPr="00512BE3">
              <w:rPr>
                <w:rFonts w:ascii="Arial" w:hAnsi="Arial" w:cs="Arial"/>
                <w:b/>
                <w:bCs/>
                <w:color w:val="000000"/>
                <w:sz w:val="16"/>
                <w:szCs w:val="16"/>
              </w:rPr>
              <w:t>125,70%</w:t>
            </w:r>
          </w:p>
        </w:tc>
      </w:tr>
    </w:tbl>
    <w:p w14:paraId="60C1EE29" w14:textId="77777777" w:rsidR="0089642B" w:rsidRPr="00512BE3" w:rsidRDefault="0089642B" w:rsidP="0089642B">
      <w:pPr>
        <w:rPr>
          <w:lang w:val="de-DE"/>
        </w:rPr>
      </w:pPr>
    </w:p>
    <w:p w14:paraId="0ADA8CDD" w14:textId="328395E1" w:rsidR="007450F2" w:rsidRPr="00512BE3" w:rsidRDefault="00F415DE" w:rsidP="008608F8">
      <w:pPr>
        <w:spacing w:after="120" w:line="240" w:lineRule="atLeast"/>
        <w:jc w:val="both"/>
        <w:rPr>
          <w:sz w:val="22"/>
          <w:lang w:eastAsia="en-GB"/>
        </w:rPr>
      </w:pPr>
      <w:r w:rsidRPr="00512BE3">
        <w:rPr>
          <w:sz w:val="22"/>
          <w:lang w:val="en-GB" w:eastAsia="en-GB"/>
        </w:rPr>
        <w:t>U oblasti</w:t>
      </w:r>
      <w:r w:rsidR="002D3EE6" w:rsidRPr="00512BE3">
        <w:rPr>
          <w:sz w:val="22"/>
          <w:lang w:val="en-GB" w:eastAsia="en-GB"/>
        </w:rPr>
        <w:t xml:space="preserve"> provođenja carinskih postupaka u izvještajnom periodu UIO je obradila </w:t>
      </w:r>
      <w:r w:rsidR="002B4E0C" w:rsidRPr="00512BE3">
        <w:rPr>
          <w:sz w:val="22"/>
          <w:lang w:eastAsia="en-GB"/>
        </w:rPr>
        <w:t>1.151.927</w:t>
      </w:r>
      <w:r w:rsidR="007450F2" w:rsidRPr="00512BE3">
        <w:rPr>
          <w:b/>
          <w:bCs/>
          <w:sz w:val="22"/>
          <w:lang w:val="sr-Latn-BA" w:eastAsia="en-GB"/>
        </w:rPr>
        <w:t xml:space="preserve"> </w:t>
      </w:r>
      <w:r w:rsidR="002D3EE6" w:rsidRPr="00512BE3">
        <w:rPr>
          <w:sz w:val="22"/>
          <w:lang w:val="en-GB" w:eastAsia="en-GB"/>
        </w:rPr>
        <w:t xml:space="preserve">carinskih prijava u carinskim postupcima uvoza i izvoza roba </w:t>
      </w:r>
      <w:r w:rsidR="00CE5778">
        <w:rPr>
          <w:sz w:val="22"/>
          <w:lang w:eastAsia="en-GB"/>
        </w:rPr>
        <w:t xml:space="preserve"> </w:t>
      </w:r>
      <w:r w:rsidR="00CE5778" w:rsidRPr="00CE5778">
        <w:rPr>
          <w:i/>
          <w:sz w:val="22"/>
          <w:lang w:eastAsia="en-GB"/>
        </w:rPr>
        <w:t>(Tabela 21)</w:t>
      </w:r>
      <w:r w:rsidR="00CE5778">
        <w:rPr>
          <w:sz w:val="22"/>
          <w:lang w:eastAsia="en-GB"/>
        </w:rPr>
        <w:t xml:space="preserve"> š</w:t>
      </w:r>
      <w:r w:rsidR="007450F2" w:rsidRPr="00512BE3">
        <w:rPr>
          <w:sz w:val="22"/>
          <w:lang w:eastAsia="en-GB"/>
        </w:rPr>
        <w:t>to je povećanje</w:t>
      </w:r>
      <w:r w:rsidR="007450F2" w:rsidRPr="00512BE3">
        <w:rPr>
          <w:b/>
          <w:sz w:val="22"/>
          <w:lang w:eastAsia="en-GB"/>
        </w:rPr>
        <w:t xml:space="preserve"> </w:t>
      </w:r>
      <w:r w:rsidR="007450F2" w:rsidRPr="00512BE3">
        <w:rPr>
          <w:sz w:val="22"/>
          <w:lang w:eastAsia="en-GB"/>
        </w:rPr>
        <w:t xml:space="preserve">u odnosu </w:t>
      </w:r>
      <w:r w:rsidR="002B4E0C" w:rsidRPr="00512BE3">
        <w:rPr>
          <w:sz w:val="22"/>
          <w:lang w:eastAsia="en-GB"/>
        </w:rPr>
        <w:t>na 2021. godinu za 26.815 prijava, odnosno više za 2,38%.</w:t>
      </w:r>
      <w:r w:rsidR="007450F2" w:rsidRPr="00512BE3">
        <w:rPr>
          <w:sz w:val="22"/>
          <w:lang w:eastAsia="en-GB"/>
        </w:rPr>
        <w:t xml:space="preserve"> </w:t>
      </w:r>
    </w:p>
    <w:p w14:paraId="7D5AB853" w14:textId="56634203" w:rsidR="002D3EE6" w:rsidRPr="00512BE3" w:rsidRDefault="002D3EE6" w:rsidP="00F415DE">
      <w:pPr>
        <w:spacing w:after="120" w:line="240" w:lineRule="atLeast"/>
        <w:jc w:val="both"/>
        <w:rPr>
          <w:sz w:val="27"/>
          <w:szCs w:val="27"/>
          <w:lang w:val="en-GB" w:eastAsia="en-GB"/>
        </w:rPr>
      </w:pPr>
      <w:r w:rsidRPr="00512BE3">
        <w:rPr>
          <w:b/>
          <w:bCs/>
          <w:i/>
          <w:iCs/>
          <w:sz w:val="22"/>
          <w:lang w:val="en-GB" w:eastAsia="en-GB"/>
        </w:rPr>
        <w:t>Tabe</w:t>
      </w:r>
      <w:r w:rsidR="00056D2B" w:rsidRPr="00512BE3">
        <w:rPr>
          <w:b/>
          <w:bCs/>
          <w:i/>
          <w:iCs/>
          <w:sz w:val="22"/>
          <w:lang w:val="en-GB" w:eastAsia="en-GB"/>
        </w:rPr>
        <w:t>la 2</w:t>
      </w:r>
      <w:r w:rsidR="00CE5778">
        <w:rPr>
          <w:b/>
          <w:bCs/>
          <w:i/>
          <w:iCs/>
          <w:sz w:val="22"/>
          <w:lang w:val="en-GB" w:eastAsia="en-GB"/>
        </w:rPr>
        <w:t>1</w:t>
      </w:r>
      <w:r w:rsidRPr="00512BE3">
        <w:rPr>
          <w:b/>
          <w:bCs/>
          <w:i/>
          <w:iCs/>
          <w:sz w:val="22"/>
          <w:lang w:val="en-GB" w:eastAsia="en-GB"/>
        </w:rPr>
        <w:t xml:space="preserve">: Pregled </w:t>
      </w:r>
      <w:r w:rsidR="007450F2" w:rsidRPr="00512BE3">
        <w:rPr>
          <w:b/>
          <w:bCs/>
          <w:i/>
          <w:iCs/>
          <w:sz w:val="22"/>
          <w:lang w:val="en-GB" w:eastAsia="en-GB"/>
        </w:rPr>
        <w:t>obrađenih</w:t>
      </w:r>
      <w:r w:rsidR="002B4E0C" w:rsidRPr="00512BE3">
        <w:rPr>
          <w:b/>
          <w:bCs/>
          <w:i/>
          <w:iCs/>
          <w:sz w:val="22"/>
          <w:lang w:val="en-GB" w:eastAsia="en-GB"/>
        </w:rPr>
        <w:t xml:space="preserve"> carinskih prijava 202</w:t>
      </w:r>
      <w:r w:rsidR="00DF7A60" w:rsidRPr="00512BE3">
        <w:rPr>
          <w:b/>
          <w:bCs/>
          <w:i/>
          <w:iCs/>
          <w:sz w:val="22"/>
          <w:lang w:val="en-GB" w:eastAsia="en-GB"/>
        </w:rPr>
        <w:t>1</w:t>
      </w:r>
      <w:r w:rsidR="007450F2" w:rsidRPr="00512BE3">
        <w:rPr>
          <w:b/>
          <w:bCs/>
          <w:i/>
          <w:iCs/>
          <w:sz w:val="22"/>
          <w:lang w:val="en-GB" w:eastAsia="en-GB"/>
        </w:rPr>
        <w:t>/202</w:t>
      </w:r>
      <w:r w:rsidR="00DF7A60" w:rsidRPr="00512BE3">
        <w:rPr>
          <w:b/>
          <w:bCs/>
          <w:i/>
          <w:iCs/>
          <w:sz w:val="22"/>
          <w:lang w:val="en-GB" w:eastAsia="en-GB"/>
        </w:rPr>
        <w:t>2</w:t>
      </w:r>
      <w:r w:rsidRPr="00512BE3">
        <w:rPr>
          <w:b/>
          <w:bCs/>
          <w:i/>
          <w:iCs/>
          <w:sz w:val="22"/>
          <w:lang w:val="en-GB" w:eastAsia="en-GB"/>
        </w:rPr>
        <w:t>. godina</w:t>
      </w:r>
    </w:p>
    <w:tbl>
      <w:tblPr>
        <w:tblW w:w="9004" w:type="dxa"/>
        <w:tblInd w:w="-10" w:type="dxa"/>
        <w:tblLook w:val="04A0" w:firstRow="1" w:lastRow="0" w:firstColumn="1" w:lastColumn="0" w:noHBand="0" w:noVBand="1"/>
      </w:tblPr>
      <w:tblGrid>
        <w:gridCol w:w="3401"/>
        <w:gridCol w:w="1953"/>
        <w:gridCol w:w="2083"/>
        <w:gridCol w:w="1567"/>
      </w:tblGrid>
      <w:tr w:rsidR="002B4E0C" w:rsidRPr="00512BE3" w14:paraId="4C726020" w14:textId="77777777" w:rsidTr="002B4E0C">
        <w:trPr>
          <w:trHeight w:val="328"/>
        </w:trPr>
        <w:tc>
          <w:tcPr>
            <w:tcW w:w="9004" w:type="dxa"/>
            <w:gridSpan w:val="4"/>
            <w:tcBorders>
              <w:top w:val="single" w:sz="8" w:space="0" w:color="auto"/>
              <w:left w:val="single" w:sz="8" w:space="0" w:color="auto"/>
              <w:bottom w:val="single" w:sz="8" w:space="0" w:color="auto"/>
              <w:right w:val="single" w:sz="8" w:space="0" w:color="000000"/>
            </w:tcBorders>
            <w:shd w:val="clear" w:color="000000" w:fill="FFC000"/>
            <w:vAlign w:val="center"/>
            <w:hideMark/>
          </w:tcPr>
          <w:p w14:paraId="358F1055" w14:textId="33D3B9C7" w:rsidR="002B4E0C" w:rsidRPr="00512BE3" w:rsidRDefault="002B4E0C" w:rsidP="00DF7A60">
            <w:pPr>
              <w:ind w:right="-57"/>
              <w:jc w:val="center"/>
              <w:rPr>
                <w:b/>
                <w:bCs/>
                <w:color w:val="000000"/>
                <w:sz w:val="18"/>
                <w:szCs w:val="18"/>
                <w:lang w:val="sr-Latn-BA" w:eastAsia="sr-Latn-BA"/>
              </w:rPr>
            </w:pPr>
            <w:bookmarkStart w:id="33" w:name="table13"/>
            <w:bookmarkEnd w:id="33"/>
            <w:r w:rsidRPr="00512BE3">
              <w:rPr>
                <w:b/>
                <w:bCs/>
                <w:color w:val="000000"/>
                <w:sz w:val="18"/>
                <w:szCs w:val="18"/>
                <w:lang w:val="sr-Latn-BA" w:eastAsia="sr-Latn-BA"/>
              </w:rPr>
              <w:t xml:space="preserve">EVIDENTIRANE CARINSKE PRIJAVE PO RC  U </w:t>
            </w:r>
            <w:r w:rsidR="00DF7A60" w:rsidRPr="00512BE3">
              <w:rPr>
                <w:b/>
                <w:bCs/>
                <w:color w:val="000000"/>
                <w:sz w:val="18"/>
                <w:szCs w:val="18"/>
                <w:lang w:val="sr-Latn-BA" w:eastAsia="sr-Latn-BA"/>
              </w:rPr>
              <w:t xml:space="preserve"> periodu 01.01.-31.12.2021/</w:t>
            </w:r>
            <w:r w:rsidRPr="00512BE3">
              <w:rPr>
                <w:b/>
                <w:bCs/>
                <w:color w:val="000000"/>
                <w:sz w:val="18"/>
                <w:szCs w:val="18"/>
                <w:lang w:val="sr-Latn-BA" w:eastAsia="sr-Latn-BA"/>
              </w:rPr>
              <w:t>202</w:t>
            </w:r>
            <w:r w:rsidR="00DF7A60" w:rsidRPr="00512BE3">
              <w:rPr>
                <w:b/>
                <w:bCs/>
                <w:color w:val="000000"/>
                <w:sz w:val="18"/>
                <w:szCs w:val="18"/>
                <w:lang w:val="sr-Latn-BA" w:eastAsia="sr-Latn-BA"/>
              </w:rPr>
              <w:t>2</w:t>
            </w:r>
            <w:r w:rsidRPr="00512BE3">
              <w:rPr>
                <w:b/>
                <w:bCs/>
                <w:color w:val="000000"/>
                <w:sz w:val="18"/>
                <w:szCs w:val="18"/>
                <w:lang w:val="sr-Latn-BA" w:eastAsia="sr-Latn-BA"/>
              </w:rPr>
              <w:t xml:space="preserve"> godine</w:t>
            </w:r>
          </w:p>
        </w:tc>
      </w:tr>
      <w:tr w:rsidR="002B4E0C" w:rsidRPr="00512BE3" w14:paraId="4C9D2D95" w14:textId="77777777" w:rsidTr="002B4E0C">
        <w:trPr>
          <w:trHeight w:val="282"/>
        </w:trPr>
        <w:tc>
          <w:tcPr>
            <w:tcW w:w="3401" w:type="dxa"/>
            <w:tcBorders>
              <w:top w:val="nil"/>
              <w:left w:val="single" w:sz="8" w:space="0" w:color="auto"/>
              <w:bottom w:val="single" w:sz="8" w:space="0" w:color="auto"/>
              <w:right w:val="single" w:sz="8" w:space="0" w:color="auto"/>
            </w:tcBorders>
            <w:shd w:val="clear" w:color="000000" w:fill="DCE6F1"/>
            <w:vAlign w:val="center"/>
            <w:hideMark/>
          </w:tcPr>
          <w:p w14:paraId="5ADE7DE5" w14:textId="77777777" w:rsidR="002B4E0C" w:rsidRPr="00512BE3" w:rsidRDefault="002B4E0C" w:rsidP="002B4E0C">
            <w:pPr>
              <w:ind w:right="-57"/>
              <w:jc w:val="center"/>
              <w:rPr>
                <w:b/>
                <w:bCs/>
                <w:color w:val="000000"/>
                <w:sz w:val="18"/>
                <w:szCs w:val="18"/>
                <w:lang w:val="sr-Latn-BA" w:eastAsia="sr-Latn-BA"/>
              </w:rPr>
            </w:pPr>
            <w:r w:rsidRPr="00512BE3">
              <w:rPr>
                <w:b/>
                <w:bCs/>
                <w:color w:val="000000"/>
                <w:sz w:val="18"/>
                <w:szCs w:val="18"/>
                <w:lang w:val="sr-Latn-BA" w:eastAsia="sr-Latn-BA"/>
              </w:rPr>
              <w:t xml:space="preserve">CARINSKE PRIJAVE             </w:t>
            </w:r>
          </w:p>
        </w:tc>
        <w:tc>
          <w:tcPr>
            <w:tcW w:w="1953" w:type="dxa"/>
            <w:tcBorders>
              <w:top w:val="nil"/>
              <w:left w:val="nil"/>
              <w:bottom w:val="single" w:sz="8" w:space="0" w:color="auto"/>
              <w:right w:val="nil"/>
            </w:tcBorders>
            <w:shd w:val="clear" w:color="000000" w:fill="DCE6F1"/>
            <w:vAlign w:val="center"/>
            <w:hideMark/>
          </w:tcPr>
          <w:p w14:paraId="2490A4F7" w14:textId="77777777" w:rsidR="002B4E0C" w:rsidRPr="00512BE3" w:rsidRDefault="002B4E0C" w:rsidP="002B4E0C">
            <w:pPr>
              <w:rPr>
                <w:sz w:val="18"/>
                <w:szCs w:val="18"/>
                <w:lang w:val="sr-Latn-BA" w:eastAsia="en-US"/>
              </w:rPr>
            </w:pPr>
            <w:r w:rsidRPr="00512BE3">
              <w:rPr>
                <w:sz w:val="18"/>
                <w:szCs w:val="18"/>
                <w:lang w:val="sr-Latn-BA" w:eastAsia="en-US"/>
              </w:rPr>
              <w:t>01.01.-31.12.2022.</w:t>
            </w:r>
          </w:p>
        </w:tc>
        <w:tc>
          <w:tcPr>
            <w:tcW w:w="2083" w:type="dxa"/>
            <w:tcBorders>
              <w:top w:val="nil"/>
              <w:left w:val="single" w:sz="8" w:space="0" w:color="auto"/>
              <w:bottom w:val="single" w:sz="8" w:space="0" w:color="auto"/>
              <w:right w:val="nil"/>
            </w:tcBorders>
            <w:shd w:val="clear" w:color="000000" w:fill="DCE6F1"/>
            <w:vAlign w:val="center"/>
            <w:hideMark/>
          </w:tcPr>
          <w:p w14:paraId="5C156B59" w14:textId="77777777" w:rsidR="002B4E0C" w:rsidRPr="00512BE3" w:rsidRDefault="002B4E0C" w:rsidP="002B4E0C">
            <w:pPr>
              <w:rPr>
                <w:sz w:val="18"/>
                <w:szCs w:val="18"/>
                <w:lang w:val="sr-Latn-BA" w:eastAsia="en-US"/>
              </w:rPr>
            </w:pPr>
            <w:r w:rsidRPr="00512BE3">
              <w:rPr>
                <w:sz w:val="18"/>
                <w:szCs w:val="18"/>
                <w:lang w:val="sr-Latn-BA" w:eastAsia="en-US"/>
              </w:rPr>
              <w:t>01.01.-31.12.2021.</w:t>
            </w:r>
          </w:p>
        </w:tc>
        <w:tc>
          <w:tcPr>
            <w:tcW w:w="1565" w:type="dxa"/>
            <w:tcBorders>
              <w:top w:val="nil"/>
              <w:left w:val="single" w:sz="8" w:space="0" w:color="auto"/>
              <w:bottom w:val="single" w:sz="8" w:space="0" w:color="auto"/>
              <w:right w:val="single" w:sz="8" w:space="0" w:color="auto"/>
            </w:tcBorders>
            <w:shd w:val="clear" w:color="000000" w:fill="FFFF00"/>
            <w:vAlign w:val="center"/>
            <w:hideMark/>
          </w:tcPr>
          <w:p w14:paraId="3CC42A72" w14:textId="77777777" w:rsidR="002B4E0C" w:rsidRPr="00512BE3" w:rsidRDefault="002B4E0C" w:rsidP="002B4E0C">
            <w:pPr>
              <w:rPr>
                <w:sz w:val="18"/>
                <w:szCs w:val="18"/>
                <w:lang w:val="sr-Latn-BA" w:eastAsia="en-US"/>
              </w:rPr>
            </w:pPr>
            <w:r w:rsidRPr="00512BE3">
              <w:rPr>
                <w:sz w:val="18"/>
                <w:szCs w:val="18"/>
                <w:lang w:val="sr-Latn-BA" w:eastAsia="en-US"/>
              </w:rPr>
              <w:t>2022. / 2021.</w:t>
            </w:r>
          </w:p>
        </w:tc>
      </w:tr>
      <w:tr w:rsidR="002B4E0C" w:rsidRPr="00512BE3" w14:paraId="5AAC5BA2" w14:textId="77777777" w:rsidTr="002B4E0C">
        <w:trPr>
          <w:trHeight w:val="262"/>
        </w:trPr>
        <w:tc>
          <w:tcPr>
            <w:tcW w:w="3401" w:type="dxa"/>
            <w:tcBorders>
              <w:top w:val="nil"/>
              <w:left w:val="single" w:sz="8" w:space="0" w:color="auto"/>
              <w:bottom w:val="single" w:sz="8" w:space="0" w:color="auto"/>
              <w:right w:val="single" w:sz="8" w:space="0" w:color="auto"/>
            </w:tcBorders>
            <w:shd w:val="clear" w:color="000000" w:fill="FFFFFF"/>
            <w:vAlign w:val="center"/>
            <w:hideMark/>
          </w:tcPr>
          <w:p w14:paraId="44EA829F" w14:textId="77777777" w:rsidR="002B4E0C" w:rsidRPr="00512BE3" w:rsidRDefault="002B4E0C" w:rsidP="002B4E0C">
            <w:pPr>
              <w:ind w:right="-57"/>
              <w:rPr>
                <w:color w:val="000000"/>
                <w:sz w:val="18"/>
                <w:szCs w:val="18"/>
                <w:lang w:val="sr-Latn-BA" w:eastAsia="sr-Latn-BA"/>
              </w:rPr>
            </w:pPr>
            <w:r w:rsidRPr="00512BE3">
              <w:rPr>
                <w:color w:val="000000"/>
                <w:sz w:val="18"/>
                <w:szCs w:val="18"/>
                <w:lang w:val="sr-Latn-BA" w:eastAsia="sr-Latn-BA"/>
              </w:rPr>
              <w:t>RC BANJA LUKA</w:t>
            </w:r>
          </w:p>
        </w:tc>
        <w:tc>
          <w:tcPr>
            <w:tcW w:w="1953" w:type="dxa"/>
            <w:tcBorders>
              <w:top w:val="single" w:sz="8" w:space="0" w:color="auto"/>
              <w:left w:val="single" w:sz="8" w:space="0" w:color="auto"/>
              <w:bottom w:val="single" w:sz="8" w:space="0" w:color="auto"/>
              <w:right w:val="nil"/>
            </w:tcBorders>
            <w:shd w:val="clear" w:color="000000" w:fill="92D050"/>
            <w:vAlign w:val="center"/>
          </w:tcPr>
          <w:p w14:paraId="73A1F143" w14:textId="77777777" w:rsidR="002B4E0C" w:rsidRPr="00512BE3" w:rsidRDefault="002B4E0C" w:rsidP="002B4E0C">
            <w:pPr>
              <w:jc w:val="right"/>
              <w:rPr>
                <w:color w:val="000000"/>
                <w:sz w:val="18"/>
                <w:szCs w:val="18"/>
                <w:lang w:val="en-US" w:eastAsia="en-US"/>
              </w:rPr>
            </w:pPr>
            <w:r w:rsidRPr="00512BE3">
              <w:rPr>
                <w:color w:val="000000"/>
                <w:sz w:val="18"/>
                <w:szCs w:val="18"/>
                <w:lang w:val="sr-Latn-BA" w:eastAsia="en-US"/>
              </w:rPr>
              <w:t>377.600</w:t>
            </w:r>
          </w:p>
        </w:tc>
        <w:tc>
          <w:tcPr>
            <w:tcW w:w="2083" w:type="dxa"/>
            <w:tcBorders>
              <w:top w:val="single" w:sz="8" w:space="0" w:color="auto"/>
              <w:left w:val="single" w:sz="8" w:space="0" w:color="auto"/>
              <w:bottom w:val="single" w:sz="8" w:space="0" w:color="auto"/>
              <w:right w:val="nil"/>
            </w:tcBorders>
            <w:shd w:val="clear" w:color="000000" w:fill="92D050"/>
            <w:vAlign w:val="center"/>
          </w:tcPr>
          <w:p w14:paraId="26B19FF0"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377.427</w:t>
            </w:r>
          </w:p>
        </w:tc>
        <w:tc>
          <w:tcPr>
            <w:tcW w:w="1565" w:type="dxa"/>
            <w:tcBorders>
              <w:top w:val="single" w:sz="8" w:space="0" w:color="auto"/>
              <w:left w:val="single" w:sz="8" w:space="0" w:color="auto"/>
              <w:bottom w:val="single" w:sz="8" w:space="0" w:color="auto"/>
              <w:right w:val="single" w:sz="8" w:space="0" w:color="auto"/>
            </w:tcBorders>
            <w:shd w:val="clear" w:color="000000" w:fill="FFFF00"/>
            <w:vAlign w:val="center"/>
          </w:tcPr>
          <w:p w14:paraId="075172C3" w14:textId="77777777" w:rsidR="002B4E0C" w:rsidRPr="00512BE3" w:rsidRDefault="002B4E0C" w:rsidP="002B4E0C">
            <w:pPr>
              <w:jc w:val="right"/>
              <w:rPr>
                <w:color w:val="000000"/>
                <w:sz w:val="18"/>
                <w:szCs w:val="18"/>
                <w:lang w:val="en-US" w:eastAsia="en-US"/>
              </w:rPr>
            </w:pPr>
            <w:r w:rsidRPr="00512BE3">
              <w:rPr>
                <w:color w:val="000000"/>
                <w:sz w:val="18"/>
                <w:szCs w:val="18"/>
                <w:lang w:val="sr-Latn-BA" w:eastAsia="en-US"/>
              </w:rPr>
              <w:t>100,05%</w:t>
            </w:r>
          </w:p>
        </w:tc>
      </w:tr>
      <w:tr w:rsidR="002B4E0C" w:rsidRPr="00512BE3" w14:paraId="2EB5E85A" w14:textId="77777777" w:rsidTr="002B4E0C">
        <w:trPr>
          <w:trHeight w:val="110"/>
        </w:trPr>
        <w:tc>
          <w:tcPr>
            <w:tcW w:w="3401" w:type="dxa"/>
            <w:tcBorders>
              <w:top w:val="nil"/>
              <w:left w:val="single" w:sz="8" w:space="0" w:color="auto"/>
              <w:bottom w:val="single" w:sz="8" w:space="0" w:color="auto"/>
              <w:right w:val="single" w:sz="8" w:space="0" w:color="auto"/>
            </w:tcBorders>
            <w:shd w:val="clear" w:color="000000" w:fill="FFFFFF"/>
            <w:vAlign w:val="center"/>
            <w:hideMark/>
          </w:tcPr>
          <w:p w14:paraId="214449EB" w14:textId="77777777" w:rsidR="002B4E0C" w:rsidRPr="00512BE3" w:rsidRDefault="002B4E0C" w:rsidP="002B4E0C">
            <w:pPr>
              <w:ind w:right="-57"/>
              <w:rPr>
                <w:color w:val="000000"/>
                <w:sz w:val="18"/>
                <w:szCs w:val="18"/>
                <w:lang w:val="sr-Latn-BA" w:eastAsia="sr-Latn-BA"/>
              </w:rPr>
            </w:pPr>
            <w:r w:rsidRPr="00512BE3">
              <w:rPr>
                <w:color w:val="000000"/>
                <w:sz w:val="18"/>
                <w:szCs w:val="18"/>
                <w:lang w:val="sr-Latn-BA" w:eastAsia="sr-Latn-BA"/>
              </w:rPr>
              <w:t>RC SARAJEVO</w:t>
            </w:r>
          </w:p>
        </w:tc>
        <w:tc>
          <w:tcPr>
            <w:tcW w:w="1953" w:type="dxa"/>
            <w:tcBorders>
              <w:top w:val="nil"/>
              <w:left w:val="single" w:sz="8" w:space="0" w:color="auto"/>
              <w:bottom w:val="single" w:sz="8" w:space="0" w:color="auto"/>
              <w:right w:val="nil"/>
            </w:tcBorders>
            <w:shd w:val="clear" w:color="000000" w:fill="92D050"/>
            <w:vAlign w:val="center"/>
          </w:tcPr>
          <w:p w14:paraId="53D47DB5"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262.268</w:t>
            </w:r>
          </w:p>
        </w:tc>
        <w:tc>
          <w:tcPr>
            <w:tcW w:w="2083" w:type="dxa"/>
            <w:tcBorders>
              <w:top w:val="nil"/>
              <w:left w:val="single" w:sz="8" w:space="0" w:color="auto"/>
              <w:bottom w:val="single" w:sz="8" w:space="0" w:color="auto"/>
              <w:right w:val="nil"/>
            </w:tcBorders>
            <w:shd w:val="clear" w:color="000000" w:fill="92D050"/>
            <w:vAlign w:val="center"/>
          </w:tcPr>
          <w:p w14:paraId="19E77195"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260.040</w:t>
            </w:r>
          </w:p>
        </w:tc>
        <w:tc>
          <w:tcPr>
            <w:tcW w:w="1565" w:type="dxa"/>
            <w:tcBorders>
              <w:top w:val="nil"/>
              <w:left w:val="single" w:sz="8" w:space="0" w:color="auto"/>
              <w:bottom w:val="single" w:sz="8" w:space="0" w:color="auto"/>
              <w:right w:val="single" w:sz="8" w:space="0" w:color="auto"/>
            </w:tcBorders>
            <w:shd w:val="clear" w:color="000000" w:fill="FFFF00"/>
            <w:vAlign w:val="center"/>
          </w:tcPr>
          <w:p w14:paraId="5EFD1906"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100,86%</w:t>
            </w:r>
          </w:p>
        </w:tc>
      </w:tr>
      <w:tr w:rsidR="002B4E0C" w:rsidRPr="00512BE3" w14:paraId="299D0450" w14:textId="77777777" w:rsidTr="002B4E0C">
        <w:trPr>
          <w:trHeight w:val="142"/>
        </w:trPr>
        <w:tc>
          <w:tcPr>
            <w:tcW w:w="3401" w:type="dxa"/>
            <w:tcBorders>
              <w:top w:val="nil"/>
              <w:left w:val="single" w:sz="8" w:space="0" w:color="auto"/>
              <w:bottom w:val="single" w:sz="8" w:space="0" w:color="auto"/>
              <w:right w:val="single" w:sz="8" w:space="0" w:color="auto"/>
            </w:tcBorders>
            <w:shd w:val="clear" w:color="000000" w:fill="FFFFFF"/>
            <w:vAlign w:val="center"/>
            <w:hideMark/>
          </w:tcPr>
          <w:p w14:paraId="139F9120" w14:textId="77777777" w:rsidR="002B4E0C" w:rsidRPr="00512BE3" w:rsidRDefault="002B4E0C" w:rsidP="002B4E0C">
            <w:pPr>
              <w:ind w:right="-57"/>
              <w:rPr>
                <w:color w:val="000000"/>
                <w:sz w:val="18"/>
                <w:szCs w:val="18"/>
                <w:lang w:val="sr-Latn-BA" w:eastAsia="sr-Latn-BA"/>
              </w:rPr>
            </w:pPr>
            <w:r w:rsidRPr="00512BE3">
              <w:rPr>
                <w:color w:val="000000"/>
                <w:sz w:val="18"/>
                <w:szCs w:val="18"/>
                <w:lang w:val="sr-Latn-BA" w:eastAsia="sr-Latn-BA"/>
              </w:rPr>
              <w:t>RC MOSTAR</w:t>
            </w:r>
          </w:p>
        </w:tc>
        <w:tc>
          <w:tcPr>
            <w:tcW w:w="1953" w:type="dxa"/>
            <w:tcBorders>
              <w:top w:val="nil"/>
              <w:left w:val="single" w:sz="8" w:space="0" w:color="auto"/>
              <w:bottom w:val="single" w:sz="8" w:space="0" w:color="auto"/>
              <w:right w:val="nil"/>
            </w:tcBorders>
            <w:shd w:val="clear" w:color="000000" w:fill="92D050"/>
            <w:vAlign w:val="center"/>
          </w:tcPr>
          <w:p w14:paraId="6B8F3697"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171.760</w:t>
            </w:r>
          </w:p>
        </w:tc>
        <w:tc>
          <w:tcPr>
            <w:tcW w:w="2083" w:type="dxa"/>
            <w:tcBorders>
              <w:top w:val="nil"/>
              <w:left w:val="single" w:sz="8" w:space="0" w:color="auto"/>
              <w:bottom w:val="single" w:sz="8" w:space="0" w:color="auto"/>
              <w:right w:val="nil"/>
            </w:tcBorders>
            <w:shd w:val="clear" w:color="000000" w:fill="92D050"/>
            <w:vAlign w:val="center"/>
          </w:tcPr>
          <w:p w14:paraId="702E2102"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161.459</w:t>
            </w:r>
          </w:p>
        </w:tc>
        <w:tc>
          <w:tcPr>
            <w:tcW w:w="1565" w:type="dxa"/>
            <w:tcBorders>
              <w:top w:val="nil"/>
              <w:left w:val="single" w:sz="8" w:space="0" w:color="auto"/>
              <w:bottom w:val="single" w:sz="8" w:space="0" w:color="auto"/>
              <w:right w:val="single" w:sz="8" w:space="0" w:color="auto"/>
            </w:tcBorders>
            <w:shd w:val="clear" w:color="000000" w:fill="FFFF00"/>
            <w:vAlign w:val="center"/>
          </w:tcPr>
          <w:p w14:paraId="34B54822"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106,38%</w:t>
            </w:r>
          </w:p>
        </w:tc>
      </w:tr>
      <w:tr w:rsidR="002B4E0C" w:rsidRPr="00512BE3" w14:paraId="6CB2DFB0" w14:textId="77777777" w:rsidTr="002B4E0C">
        <w:trPr>
          <w:trHeight w:val="188"/>
        </w:trPr>
        <w:tc>
          <w:tcPr>
            <w:tcW w:w="3401" w:type="dxa"/>
            <w:tcBorders>
              <w:top w:val="nil"/>
              <w:left w:val="single" w:sz="8" w:space="0" w:color="auto"/>
              <w:bottom w:val="single" w:sz="8" w:space="0" w:color="auto"/>
              <w:right w:val="single" w:sz="8" w:space="0" w:color="auto"/>
            </w:tcBorders>
            <w:shd w:val="clear" w:color="000000" w:fill="FFFFFF"/>
            <w:vAlign w:val="center"/>
            <w:hideMark/>
          </w:tcPr>
          <w:p w14:paraId="07BB413D" w14:textId="77777777" w:rsidR="002B4E0C" w:rsidRPr="00512BE3" w:rsidRDefault="002B4E0C" w:rsidP="002B4E0C">
            <w:pPr>
              <w:ind w:right="-57"/>
              <w:rPr>
                <w:color w:val="000000"/>
                <w:sz w:val="18"/>
                <w:szCs w:val="18"/>
                <w:lang w:val="sr-Latn-BA" w:eastAsia="sr-Latn-BA"/>
              </w:rPr>
            </w:pPr>
            <w:r w:rsidRPr="00512BE3">
              <w:rPr>
                <w:color w:val="000000"/>
                <w:sz w:val="18"/>
                <w:szCs w:val="18"/>
                <w:lang w:val="sr-Latn-BA" w:eastAsia="sr-Latn-BA"/>
              </w:rPr>
              <w:t>RC TUZLA</w:t>
            </w:r>
          </w:p>
        </w:tc>
        <w:tc>
          <w:tcPr>
            <w:tcW w:w="1953" w:type="dxa"/>
            <w:tcBorders>
              <w:top w:val="nil"/>
              <w:left w:val="single" w:sz="8" w:space="0" w:color="auto"/>
              <w:bottom w:val="single" w:sz="8" w:space="0" w:color="auto"/>
              <w:right w:val="nil"/>
            </w:tcBorders>
            <w:shd w:val="clear" w:color="000000" w:fill="92D050"/>
            <w:vAlign w:val="center"/>
          </w:tcPr>
          <w:p w14:paraId="35C28246"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340.299</w:t>
            </w:r>
          </w:p>
        </w:tc>
        <w:tc>
          <w:tcPr>
            <w:tcW w:w="2083" w:type="dxa"/>
            <w:tcBorders>
              <w:top w:val="nil"/>
              <w:left w:val="single" w:sz="8" w:space="0" w:color="auto"/>
              <w:bottom w:val="single" w:sz="8" w:space="0" w:color="auto"/>
              <w:right w:val="nil"/>
            </w:tcBorders>
            <w:shd w:val="clear" w:color="000000" w:fill="92D050"/>
            <w:vAlign w:val="center"/>
          </w:tcPr>
          <w:p w14:paraId="020C8B5A"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326.186</w:t>
            </w:r>
          </w:p>
        </w:tc>
        <w:tc>
          <w:tcPr>
            <w:tcW w:w="1565" w:type="dxa"/>
            <w:tcBorders>
              <w:top w:val="nil"/>
              <w:left w:val="single" w:sz="8" w:space="0" w:color="auto"/>
              <w:bottom w:val="single" w:sz="8" w:space="0" w:color="auto"/>
              <w:right w:val="single" w:sz="8" w:space="0" w:color="auto"/>
            </w:tcBorders>
            <w:shd w:val="clear" w:color="000000" w:fill="FFFF00"/>
            <w:vAlign w:val="center"/>
          </w:tcPr>
          <w:p w14:paraId="364ABFF5"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104,33%</w:t>
            </w:r>
          </w:p>
        </w:tc>
      </w:tr>
      <w:tr w:rsidR="002B4E0C" w:rsidRPr="00512BE3" w14:paraId="5E584C6C" w14:textId="77777777" w:rsidTr="002B4E0C">
        <w:trPr>
          <w:trHeight w:val="219"/>
        </w:trPr>
        <w:tc>
          <w:tcPr>
            <w:tcW w:w="3401" w:type="dxa"/>
            <w:tcBorders>
              <w:top w:val="nil"/>
              <w:left w:val="single" w:sz="8" w:space="0" w:color="auto"/>
              <w:bottom w:val="single" w:sz="8" w:space="0" w:color="auto"/>
              <w:right w:val="single" w:sz="8" w:space="0" w:color="auto"/>
            </w:tcBorders>
            <w:shd w:val="clear" w:color="000000" w:fill="FFFFFF"/>
            <w:vAlign w:val="center"/>
            <w:hideMark/>
          </w:tcPr>
          <w:p w14:paraId="253C50EF" w14:textId="77777777" w:rsidR="002B4E0C" w:rsidRPr="00512BE3" w:rsidRDefault="002B4E0C" w:rsidP="002B4E0C">
            <w:pPr>
              <w:ind w:right="-57"/>
              <w:rPr>
                <w:b/>
                <w:color w:val="000000"/>
                <w:sz w:val="18"/>
                <w:szCs w:val="18"/>
                <w:lang w:val="sr-Latn-BA" w:eastAsia="sr-Latn-BA"/>
              </w:rPr>
            </w:pPr>
            <w:r w:rsidRPr="00512BE3">
              <w:rPr>
                <w:b/>
                <w:color w:val="000000"/>
                <w:sz w:val="18"/>
                <w:szCs w:val="18"/>
                <w:lang w:val="sr-Latn-BA" w:eastAsia="sr-Latn-BA"/>
              </w:rPr>
              <w:t xml:space="preserve">U K U P N O </w:t>
            </w:r>
          </w:p>
        </w:tc>
        <w:tc>
          <w:tcPr>
            <w:tcW w:w="1953" w:type="dxa"/>
            <w:tcBorders>
              <w:top w:val="nil"/>
              <w:left w:val="single" w:sz="8" w:space="0" w:color="auto"/>
              <w:bottom w:val="single" w:sz="8" w:space="0" w:color="auto"/>
              <w:right w:val="nil"/>
            </w:tcBorders>
            <w:shd w:val="clear" w:color="000000" w:fill="92D050"/>
            <w:vAlign w:val="center"/>
          </w:tcPr>
          <w:p w14:paraId="15F9AD2E" w14:textId="77777777" w:rsidR="002B4E0C" w:rsidRPr="00512BE3" w:rsidRDefault="002B4E0C" w:rsidP="002B4E0C">
            <w:pPr>
              <w:jc w:val="right"/>
              <w:rPr>
                <w:b/>
                <w:bCs/>
                <w:color w:val="000000"/>
                <w:sz w:val="18"/>
                <w:szCs w:val="18"/>
                <w:lang w:val="sr-Latn-BA" w:eastAsia="en-US"/>
              </w:rPr>
            </w:pPr>
            <w:r w:rsidRPr="00512BE3">
              <w:rPr>
                <w:b/>
                <w:bCs/>
                <w:color w:val="000000"/>
                <w:sz w:val="18"/>
                <w:szCs w:val="18"/>
                <w:lang w:val="sr-Latn-BA" w:eastAsia="en-US"/>
              </w:rPr>
              <w:t>1.151.927</w:t>
            </w:r>
          </w:p>
        </w:tc>
        <w:tc>
          <w:tcPr>
            <w:tcW w:w="2083" w:type="dxa"/>
            <w:tcBorders>
              <w:top w:val="nil"/>
              <w:left w:val="single" w:sz="8" w:space="0" w:color="auto"/>
              <w:bottom w:val="single" w:sz="8" w:space="0" w:color="auto"/>
              <w:right w:val="nil"/>
            </w:tcBorders>
            <w:shd w:val="clear" w:color="000000" w:fill="92D050"/>
            <w:vAlign w:val="center"/>
          </w:tcPr>
          <w:p w14:paraId="267574B6" w14:textId="77777777" w:rsidR="002B4E0C" w:rsidRPr="00512BE3" w:rsidRDefault="002B4E0C" w:rsidP="002B4E0C">
            <w:pPr>
              <w:jc w:val="right"/>
              <w:rPr>
                <w:b/>
                <w:bCs/>
                <w:color w:val="000000"/>
                <w:sz w:val="18"/>
                <w:szCs w:val="18"/>
                <w:lang w:val="sr-Latn-BA" w:eastAsia="en-US"/>
              </w:rPr>
            </w:pPr>
            <w:r w:rsidRPr="00512BE3">
              <w:rPr>
                <w:b/>
                <w:bCs/>
                <w:color w:val="000000"/>
                <w:sz w:val="18"/>
                <w:szCs w:val="18"/>
                <w:lang w:val="sr-Latn-BA" w:eastAsia="en-US"/>
              </w:rPr>
              <w:t>1.125.112</w:t>
            </w:r>
          </w:p>
        </w:tc>
        <w:tc>
          <w:tcPr>
            <w:tcW w:w="1565" w:type="dxa"/>
            <w:tcBorders>
              <w:top w:val="nil"/>
              <w:left w:val="single" w:sz="8" w:space="0" w:color="auto"/>
              <w:bottom w:val="single" w:sz="8" w:space="0" w:color="auto"/>
              <w:right w:val="single" w:sz="8" w:space="0" w:color="auto"/>
            </w:tcBorders>
            <w:shd w:val="clear" w:color="000000" w:fill="FFFF00"/>
            <w:vAlign w:val="center"/>
          </w:tcPr>
          <w:p w14:paraId="030B2A09" w14:textId="77777777" w:rsidR="002B4E0C" w:rsidRPr="00512BE3" w:rsidRDefault="002B4E0C" w:rsidP="002B4E0C">
            <w:pPr>
              <w:jc w:val="right"/>
              <w:rPr>
                <w:color w:val="000000"/>
                <w:sz w:val="18"/>
                <w:szCs w:val="18"/>
                <w:lang w:val="sr-Latn-BA" w:eastAsia="en-US"/>
              </w:rPr>
            </w:pPr>
            <w:r w:rsidRPr="00512BE3">
              <w:rPr>
                <w:color w:val="000000"/>
                <w:sz w:val="18"/>
                <w:szCs w:val="18"/>
                <w:lang w:val="sr-Latn-BA" w:eastAsia="en-US"/>
              </w:rPr>
              <w:t>102,38%</w:t>
            </w:r>
          </w:p>
        </w:tc>
      </w:tr>
    </w:tbl>
    <w:p w14:paraId="7EE0C7A0" w14:textId="77777777" w:rsidR="00DF7A60" w:rsidRPr="00512BE3" w:rsidRDefault="00DF7A60" w:rsidP="0095417A">
      <w:pPr>
        <w:tabs>
          <w:tab w:val="left" w:pos="720"/>
        </w:tabs>
        <w:ind w:firstLine="720"/>
        <w:jc w:val="both"/>
        <w:rPr>
          <w:sz w:val="22"/>
          <w:lang w:eastAsia="en-GB"/>
        </w:rPr>
      </w:pPr>
    </w:p>
    <w:p w14:paraId="15DB7330" w14:textId="69D3D6B5" w:rsidR="007450F2" w:rsidRPr="00512BE3" w:rsidRDefault="002B4E0C" w:rsidP="00801E19">
      <w:pPr>
        <w:tabs>
          <w:tab w:val="left" w:pos="720"/>
        </w:tabs>
        <w:jc w:val="both"/>
        <w:rPr>
          <w:sz w:val="22"/>
          <w:szCs w:val="22"/>
          <w:lang w:eastAsia="en-US"/>
        </w:rPr>
      </w:pPr>
      <w:r w:rsidRPr="00512BE3">
        <w:rPr>
          <w:sz w:val="22"/>
          <w:lang w:eastAsia="en-GB"/>
        </w:rPr>
        <w:t>Kod uvoznih (IM) carinskih prijava obrađeno je 784.322 prijava što je za 1% ili za 10.765 više obrađenih prijava nego u 2021. godini.</w:t>
      </w:r>
      <w:r w:rsidR="007450F2" w:rsidRPr="00512BE3">
        <w:rPr>
          <w:sz w:val="22"/>
          <w:lang w:eastAsia="en-GB"/>
        </w:rPr>
        <w:t xml:space="preserve"> </w:t>
      </w:r>
      <w:r w:rsidRPr="00512BE3">
        <w:rPr>
          <w:sz w:val="22"/>
          <w:szCs w:val="22"/>
          <w:lang w:eastAsia="en-US"/>
        </w:rPr>
        <w:t>Obrađeno je 367.605 izvoznih (EX) carinskih prijava što je povećanje u odnosu na 2021.godinu za 4,57%, odnosno za 16.050 prijava.</w:t>
      </w:r>
    </w:p>
    <w:p w14:paraId="783A0612" w14:textId="02373ECD" w:rsidR="002B4E0C" w:rsidRPr="00512BE3" w:rsidRDefault="002B4E0C" w:rsidP="00801E19">
      <w:pPr>
        <w:jc w:val="both"/>
        <w:rPr>
          <w:sz w:val="22"/>
          <w:lang w:eastAsia="en-GB"/>
        </w:rPr>
      </w:pPr>
      <w:r w:rsidRPr="00512BE3">
        <w:rPr>
          <w:sz w:val="22"/>
          <w:lang w:eastAsia="en-GB"/>
        </w:rPr>
        <w:lastRenderedPageBreak/>
        <w:t>Najveći broj obrađenih carinskih prijava i promet roba ostvaren je u Regionalnom centru Banja Luka sa 33% u odnosu na ukupan broj carinskih prijava ili 377.600, zatim RC Tuzla sa 30% u odnosu na ukupan broj carinskih prijava ili 340.299, RC Sarajevo 23% u odnosu na ukupan broj carinskih prijava ili 262.268 carinskih prijava i RC Mostar sa 15% u odnosu na ukupan broj carinskih prijava ili 171.760 carinskih prijava</w:t>
      </w:r>
      <w:r w:rsidR="00CE5778">
        <w:rPr>
          <w:sz w:val="22"/>
          <w:lang w:eastAsia="en-GB"/>
        </w:rPr>
        <w:t xml:space="preserve">, što je iskazano u </w:t>
      </w:r>
      <w:r w:rsidR="00CE5778" w:rsidRPr="00CE5778">
        <w:rPr>
          <w:i/>
          <w:sz w:val="22"/>
          <w:lang w:eastAsia="en-GB"/>
        </w:rPr>
        <w:t>Tabeli br. 22</w:t>
      </w:r>
      <w:r w:rsidR="00CE5778">
        <w:rPr>
          <w:sz w:val="22"/>
          <w:lang w:eastAsia="en-GB"/>
        </w:rPr>
        <w:t>.</w:t>
      </w:r>
    </w:p>
    <w:tbl>
      <w:tblPr>
        <w:tblpPr w:leftFromText="180" w:rightFromText="180" w:vertAnchor="text" w:horzAnchor="margin" w:tblpY="314"/>
        <w:tblW w:w="8888" w:type="dxa"/>
        <w:tblLook w:val="04A0" w:firstRow="1" w:lastRow="0" w:firstColumn="1" w:lastColumn="0" w:noHBand="0" w:noVBand="1"/>
      </w:tblPr>
      <w:tblGrid>
        <w:gridCol w:w="1122"/>
        <w:gridCol w:w="743"/>
        <w:gridCol w:w="744"/>
        <w:gridCol w:w="743"/>
        <w:gridCol w:w="744"/>
        <w:gridCol w:w="743"/>
        <w:gridCol w:w="744"/>
        <w:gridCol w:w="743"/>
        <w:gridCol w:w="833"/>
        <w:gridCol w:w="864"/>
        <w:gridCol w:w="865"/>
      </w:tblGrid>
      <w:tr w:rsidR="002B4E0C" w:rsidRPr="00512BE3" w14:paraId="285BD232" w14:textId="77777777" w:rsidTr="002B4E0C">
        <w:trPr>
          <w:trHeight w:val="235"/>
        </w:trPr>
        <w:tc>
          <w:tcPr>
            <w:tcW w:w="1122" w:type="dxa"/>
            <w:vMerge w:val="restart"/>
            <w:tcBorders>
              <w:top w:val="single" w:sz="8" w:space="0" w:color="auto"/>
              <w:left w:val="single" w:sz="8" w:space="0" w:color="auto"/>
              <w:bottom w:val="single" w:sz="8" w:space="0" w:color="000000"/>
              <w:right w:val="single" w:sz="8" w:space="0" w:color="auto"/>
            </w:tcBorders>
            <w:shd w:val="clear" w:color="000000" w:fill="E7E21E"/>
            <w:vAlign w:val="center"/>
            <w:hideMark/>
          </w:tcPr>
          <w:p w14:paraId="6BE1BB79"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CARINSKE PRIJAVE</w:t>
            </w:r>
          </w:p>
        </w:tc>
        <w:tc>
          <w:tcPr>
            <w:tcW w:w="1487"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DE1F3A3"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RC BANJA LUKA</w:t>
            </w:r>
          </w:p>
        </w:tc>
        <w:tc>
          <w:tcPr>
            <w:tcW w:w="1487"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04C9698"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RC MOSTAR</w:t>
            </w:r>
          </w:p>
        </w:tc>
        <w:tc>
          <w:tcPr>
            <w:tcW w:w="1487"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53A3204"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RC SARAJEVO</w:t>
            </w:r>
          </w:p>
        </w:tc>
        <w:tc>
          <w:tcPr>
            <w:tcW w:w="1576"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49D9366"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RC TUZLA</w:t>
            </w:r>
          </w:p>
        </w:tc>
        <w:tc>
          <w:tcPr>
            <w:tcW w:w="1729" w:type="dxa"/>
            <w:gridSpan w:val="2"/>
            <w:tcBorders>
              <w:top w:val="single" w:sz="8" w:space="0" w:color="auto"/>
              <w:left w:val="nil"/>
              <w:bottom w:val="single" w:sz="4" w:space="0" w:color="auto"/>
              <w:right w:val="single" w:sz="8" w:space="0" w:color="000000"/>
            </w:tcBorders>
            <w:shd w:val="clear" w:color="000000" w:fill="E7E21E"/>
            <w:noWrap/>
            <w:vAlign w:val="center"/>
            <w:hideMark/>
          </w:tcPr>
          <w:p w14:paraId="0C2CA8FE"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UKUPNO</w:t>
            </w:r>
          </w:p>
        </w:tc>
      </w:tr>
      <w:tr w:rsidR="002B4E0C" w:rsidRPr="00512BE3" w14:paraId="22524184" w14:textId="77777777" w:rsidTr="002B4E0C">
        <w:trPr>
          <w:trHeight w:val="24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659B8B4C" w14:textId="77777777" w:rsidR="002B4E0C" w:rsidRPr="00512BE3" w:rsidRDefault="002B4E0C" w:rsidP="002B4E0C">
            <w:pPr>
              <w:rPr>
                <w:b/>
                <w:bCs/>
                <w:color w:val="000000"/>
                <w:sz w:val="16"/>
                <w:szCs w:val="18"/>
                <w:lang w:val="sr-Latn-BA" w:eastAsia="sr-Latn-BA"/>
              </w:rPr>
            </w:pPr>
          </w:p>
        </w:tc>
        <w:tc>
          <w:tcPr>
            <w:tcW w:w="743" w:type="dxa"/>
            <w:tcBorders>
              <w:top w:val="nil"/>
              <w:left w:val="nil"/>
              <w:bottom w:val="nil"/>
              <w:right w:val="single" w:sz="4" w:space="0" w:color="auto"/>
            </w:tcBorders>
            <w:shd w:val="clear" w:color="auto" w:fill="auto"/>
            <w:vAlign w:val="center"/>
            <w:hideMark/>
          </w:tcPr>
          <w:p w14:paraId="1B3BD939"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2022</w:t>
            </w:r>
          </w:p>
        </w:tc>
        <w:tc>
          <w:tcPr>
            <w:tcW w:w="744" w:type="dxa"/>
            <w:tcBorders>
              <w:top w:val="nil"/>
              <w:left w:val="nil"/>
              <w:bottom w:val="nil"/>
              <w:right w:val="single" w:sz="8" w:space="0" w:color="auto"/>
            </w:tcBorders>
            <w:shd w:val="clear" w:color="auto" w:fill="auto"/>
            <w:vAlign w:val="center"/>
            <w:hideMark/>
          </w:tcPr>
          <w:p w14:paraId="620927C9"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2021</w:t>
            </w:r>
          </w:p>
        </w:tc>
        <w:tc>
          <w:tcPr>
            <w:tcW w:w="743" w:type="dxa"/>
            <w:tcBorders>
              <w:top w:val="nil"/>
              <w:left w:val="nil"/>
              <w:bottom w:val="single" w:sz="8" w:space="0" w:color="auto"/>
              <w:right w:val="single" w:sz="4" w:space="0" w:color="auto"/>
            </w:tcBorders>
            <w:shd w:val="clear" w:color="auto" w:fill="auto"/>
            <w:noWrap/>
            <w:vAlign w:val="center"/>
            <w:hideMark/>
          </w:tcPr>
          <w:p w14:paraId="1448402F"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2022</w:t>
            </w:r>
          </w:p>
        </w:tc>
        <w:tc>
          <w:tcPr>
            <w:tcW w:w="744" w:type="dxa"/>
            <w:tcBorders>
              <w:top w:val="nil"/>
              <w:left w:val="nil"/>
              <w:bottom w:val="single" w:sz="8" w:space="0" w:color="auto"/>
              <w:right w:val="single" w:sz="8" w:space="0" w:color="auto"/>
            </w:tcBorders>
            <w:shd w:val="clear" w:color="auto" w:fill="auto"/>
            <w:vAlign w:val="center"/>
            <w:hideMark/>
          </w:tcPr>
          <w:p w14:paraId="32D30FB6"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2021</w:t>
            </w:r>
          </w:p>
        </w:tc>
        <w:tc>
          <w:tcPr>
            <w:tcW w:w="743" w:type="dxa"/>
            <w:tcBorders>
              <w:top w:val="nil"/>
              <w:left w:val="nil"/>
              <w:bottom w:val="single" w:sz="8" w:space="0" w:color="auto"/>
              <w:right w:val="single" w:sz="4" w:space="0" w:color="auto"/>
            </w:tcBorders>
            <w:shd w:val="clear" w:color="auto" w:fill="auto"/>
            <w:noWrap/>
            <w:vAlign w:val="center"/>
            <w:hideMark/>
          </w:tcPr>
          <w:p w14:paraId="660E7B47"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2022</w:t>
            </w:r>
          </w:p>
        </w:tc>
        <w:tc>
          <w:tcPr>
            <w:tcW w:w="744" w:type="dxa"/>
            <w:tcBorders>
              <w:top w:val="nil"/>
              <w:left w:val="nil"/>
              <w:bottom w:val="single" w:sz="8" w:space="0" w:color="auto"/>
              <w:right w:val="single" w:sz="8" w:space="0" w:color="auto"/>
            </w:tcBorders>
            <w:shd w:val="clear" w:color="auto" w:fill="auto"/>
            <w:vAlign w:val="center"/>
            <w:hideMark/>
          </w:tcPr>
          <w:p w14:paraId="549C3B8B"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2021</w:t>
            </w:r>
          </w:p>
        </w:tc>
        <w:tc>
          <w:tcPr>
            <w:tcW w:w="743" w:type="dxa"/>
            <w:tcBorders>
              <w:top w:val="nil"/>
              <w:left w:val="nil"/>
              <w:bottom w:val="single" w:sz="8" w:space="0" w:color="auto"/>
              <w:right w:val="single" w:sz="4" w:space="0" w:color="auto"/>
            </w:tcBorders>
            <w:shd w:val="clear" w:color="auto" w:fill="auto"/>
            <w:noWrap/>
            <w:vAlign w:val="center"/>
            <w:hideMark/>
          </w:tcPr>
          <w:p w14:paraId="08A51ACB"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2022</w:t>
            </w:r>
          </w:p>
        </w:tc>
        <w:tc>
          <w:tcPr>
            <w:tcW w:w="833" w:type="dxa"/>
            <w:tcBorders>
              <w:top w:val="nil"/>
              <w:left w:val="nil"/>
              <w:bottom w:val="single" w:sz="8" w:space="0" w:color="auto"/>
              <w:right w:val="single" w:sz="8" w:space="0" w:color="auto"/>
            </w:tcBorders>
            <w:shd w:val="clear" w:color="auto" w:fill="auto"/>
            <w:vAlign w:val="center"/>
            <w:hideMark/>
          </w:tcPr>
          <w:p w14:paraId="41018250"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2021</w:t>
            </w:r>
          </w:p>
        </w:tc>
        <w:tc>
          <w:tcPr>
            <w:tcW w:w="864" w:type="dxa"/>
            <w:tcBorders>
              <w:top w:val="nil"/>
              <w:left w:val="nil"/>
              <w:bottom w:val="single" w:sz="8" w:space="0" w:color="auto"/>
              <w:right w:val="single" w:sz="4" w:space="0" w:color="auto"/>
            </w:tcBorders>
            <w:shd w:val="clear" w:color="000000" w:fill="E7E21E"/>
            <w:noWrap/>
            <w:vAlign w:val="center"/>
            <w:hideMark/>
          </w:tcPr>
          <w:p w14:paraId="71F1031D"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2022</w:t>
            </w:r>
          </w:p>
        </w:tc>
        <w:tc>
          <w:tcPr>
            <w:tcW w:w="865" w:type="dxa"/>
            <w:tcBorders>
              <w:top w:val="nil"/>
              <w:left w:val="nil"/>
              <w:bottom w:val="single" w:sz="8" w:space="0" w:color="auto"/>
              <w:right w:val="single" w:sz="8" w:space="0" w:color="auto"/>
            </w:tcBorders>
            <w:shd w:val="clear" w:color="000000" w:fill="E7E21E"/>
            <w:vAlign w:val="center"/>
            <w:hideMark/>
          </w:tcPr>
          <w:p w14:paraId="46115763"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2021</w:t>
            </w:r>
          </w:p>
        </w:tc>
      </w:tr>
      <w:tr w:rsidR="002B4E0C" w:rsidRPr="00512BE3" w14:paraId="5B45B67F"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48A8228B"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EX-A</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7542142C" w14:textId="77777777" w:rsidR="002B4E0C" w:rsidRPr="00512BE3" w:rsidRDefault="002B4E0C" w:rsidP="002B4E0C">
            <w:pPr>
              <w:jc w:val="right"/>
              <w:rPr>
                <w:color w:val="000000"/>
                <w:sz w:val="16"/>
                <w:szCs w:val="18"/>
                <w:lang w:val="en-US" w:eastAsia="en-US"/>
              </w:rPr>
            </w:pPr>
            <w:r w:rsidRPr="00512BE3">
              <w:rPr>
                <w:color w:val="000000"/>
                <w:sz w:val="16"/>
                <w:szCs w:val="18"/>
                <w:lang w:val="sr-Latn-BA" w:eastAsia="en-US"/>
              </w:rPr>
              <w:t>92.765</w:t>
            </w:r>
          </w:p>
        </w:tc>
        <w:tc>
          <w:tcPr>
            <w:tcW w:w="744" w:type="dxa"/>
            <w:tcBorders>
              <w:top w:val="single" w:sz="8" w:space="0" w:color="auto"/>
              <w:left w:val="nil"/>
              <w:bottom w:val="single" w:sz="8" w:space="0" w:color="auto"/>
              <w:right w:val="single" w:sz="8" w:space="0" w:color="auto"/>
            </w:tcBorders>
            <w:shd w:val="clear" w:color="auto" w:fill="auto"/>
            <w:vAlign w:val="center"/>
          </w:tcPr>
          <w:p w14:paraId="030CC87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91.908</w:t>
            </w:r>
          </w:p>
        </w:tc>
        <w:tc>
          <w:tcPr>
            <w:tcW w:w="743" w:type="dxa"/>
            <w:tcBorders>
              <w:top w:val="nil"/>
              <w:left w:val="nil"/>
              <w:bottom w:val="single" w:sz="8" w:space="0" w:color="auto"/>
              <w:right w:val="single" w:sz="8" w:space="0" w:color="auto"/>
            </w:tcBorders>
            <w:shd w:val="clear" w:color="auto" w:fill="auto"/>
            <w:vAlign w:val="center"/>
          </w:tcPr>
          <w:p w14:paraId="1C73F120"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45305</w:t>
            </w:r>
          </w:p>
        </w:tc>
        <w:tc>
          <w:tcPr>
            <w:tcW w:w="744" w:type="dxa"/>
            <w:tcBorders>
              <w:top w:val="nil"/>
              <w:left w:val="nil"/>
              <w:bottom w:val="single" w:sz="8" w:space="0" w:color="auto"/>
              <w:right w:val="single" w:sz="8" w:space="0" w:color="auto"/>
            </w:tcBorders>
            <w:shd w:val="clear" w:color="auto" w:fill="auto"/>
            <w:vAlign w:val="center"/>
          </w:tcPr>
          <w:p w14:paraId="26F61552"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44752</w:t>
            </w:r>
          </w:p>
        </w:tc>
        <w:tc>
          <w:tcPr>
            <w:tcW w:w="743" w:type="dxa"/>
            <w:tcBorders>
              <w:top w:val="single" w:sz="8" w:space="0" w:color="auto"/>
              <w:left w:val="nil"/>
              <w:bottom w:val="single" w:sz="8" w:space="0" w:color="auto"/>
              <w:right w:val="single" w:sz="8" w:space="0" w:color="auto"/>
            </w:tcBorders>
            <w:shd w:val="clear" w:color="auto" w:fill="auto"/>
            <w:vAlign w:val="center"/>
          </w:tcPr>
          <w:p w14:paraId="499CBA3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63.817</w:t>
            </w:r>
          </w:p>
        </w:tc>
        <w:tc>
          <w:tcPr>
            <w:tcW w:w="744" w:type="dxa"/>
            <w:tcBorders>
              <w:top w:val="single" w:sz="8" w:space="0" w:color="auto"/>
              <w:left w:val="nil"/>
              <w:bottom w:val="single" w:sz="8" w:space="0" w:color="auto"/>
              <w:right w:val="single" w:sz="8" w:space="0" w:color="auto"/>
            </w:tcBorders>
            <w:shd w:val="clear" w:color="auto" w:fill="auto"/>
            <w:vAlign w:val="center"/>
          </w:tcPr>
          <w:p w14:paraId="1CA0982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64.801</w:t>
            </w:r>
          </w:p>
        </w:tc>
        <w:tc>
          <w:tcPr>
            <w:tcW w:w="743" w:type="dxa"/>
            <w:tcBorders>
              <w:top w:val="nil"/>
              <w:left w:val="nil"/>
              <w:bottom w:val="single" w:sz="8" w:space="0" w:color="auto"/>
              <w:right w:val="single" w:sz="8" w:space="0" w:color="auto"/>
            </w:tcBorders>
            <w:shd w:val="clear" w:color="auto" w:fill="auto"/>
            <w:noWrap/>
            <w:vAlign w:val="center"/>
          </w:tcPr>
          <w:p w14:paraId="57F94D7B"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98.408</w:t>
            </w:r>
          </w:p>
        </w:tc>
        <w:tc>
          <w:tcPr>
            <w:tcW w:w="833" w:type="dxa"/>
            <w:tcBorders>
              <w:top w:val="nil"/>
              <w:left w:val="nil"/>
              <w:bottom w:val="single" w:sz="8" w:space="0" w:color="auto"/>
              <w:right w:val="single" w:sz="8" w:space="0" w:color="auto"/>
            </w:tcBorders>
            <w:shd w:val="clear" w:color="auto" w:fill="auto"/>
            <w:noWrap/>
            <w:vAlign w:val="center"/>
          </w:tcPr>
          <w:p w14:paraId="121E4E90"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88.128</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2FB8ACD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300.295</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5ACBE60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289.589</w:t>
            </w:r>
          </w:p>
        </w:tc>
      </w:tr>
      <w:tr w:rsidR="002B4E0C" w:rsidRPr="00512BE3" w14:paraId="7C1F2225"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1C77194E"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EX-C</w:t>
            </w:r>
          </w:p>
        </w:tc>
        <w:tc>
          <w:tcPr>
            <w:tcW w:w="743" w:type="dxa"/>
            <w:tcBorders>
              <w:top w:val="nil"/>
              <w:left w:val="single" w:sz="8" w:space="0" w:color="auto"/>
              <w:bottom w:val="single" w:sz="8" w:space="0" w:color="auto"/>
              <w:right w:val="single" w:sz="8" w:space="0" w:color="auto"/>
            </w:tcBorders>
            <w:shd w:val="clear" w:color="auto" w:fill="auto"/>
            <w:vAlign w:val="center"/>
          </w:tcPr>
          <w:p w14:paraId="20127FC8"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16.130</w:t>
            </w:r>
          </w:p>
        </w:tc>
        <w:tc>
          <w:tcPr>
            <w:tcW w:w="744" w:type="dxa"/>
            <w:tcBorders>
              <w:top w:val="nil"/>
              <w:left w:val="nil"/>
              <w:bottom w:val="single" w:sz="8" w:space="0" w:color="auto"/>
              <w:right w:val="single" w:sz="8" w:space="0" w:color="auto"/>
            </w:tcBorders>
            <w:shd w:val="clear" w:color="auto" w:fill="auto"/>
            <w:vAlign w:val="center"/>
          </w:tcPr>
          <w:p w14:paraId="00BCE93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14.630</w:t>
            </w:r>
          </w:p>
        </w:tc>
        <w:tc>
          <w:tcPr>
            <w:tcW w:w="743" w:type="dxa"/>
            <w:tcBorders>
              <w:top w:val="nil"/>
              <w:left w:val="nil"/>
              <w:bottom w:val="single" w:sz="8" w:space="0" w:color="auto"/>
              <w:right w:val="single" w:sz="8" w:space="0" w:color="auto"/>
            </w:tcBorders>
            <w:shd w:val="clear" w:color="auto" w:fill="auto"/>
            <w:vAlign w:val="center"/>
          </w:tcPr>
          <w:p w14:paraId="6A4B700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12148</w:t>
            </w:r>
          </w:p>
        </w:tc>
        <w:tc>
          <w:tcPr>
            <w:tcW w:w="744" w:type="dxa"/>
            <w:tcBorders>
              <w:top w:val="nil"/>
              <w:left w:val="nil"/>
              <w:bottom w:val="single" w:sz="8" w:space="0" w:color="auto"/>
              <w:right w:val="single" w:sz="8" w:space="0" w:color="auto"/>
            </w:tcBorders>
            <w:shd w:val="clear" w:color="auto" w:fill="auto"/>
            <w:vAlign w:val="center"/>
          </w:tcPr>
          <w:p w14:paraId="6B153A85"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9684</w:t>
            </w:r>
          </w:p>
        </w:tc>
        <w:tc>
          <w:tcPr>
            <w:tcW w:w="743" w:type="dxa"/>
            <w:tcBorders>
              <w:top w:val="nil"/>
              <w:left w:val="nil"/>
              <w:bottom w:val="single" w:sz="8" w:space="0" w:color="auto"/>
              <w:right w:val="single" w:sz="8" w:space="0" w:color="auto"/>
            </w:tcBorders>
            <w:shd w:val="clear" w:color="auto" w:fill="auto"/>
            <w:vAlign w:val="center"/>
          </w:tcPr>
          <w:p w14:paraId="2872E94B"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964</w:t>
            </w:r>
          </w:p>
        </w:tc>
        <w:tc>
          <w:tcPr>
            <w:tcW w:w="744" w:type="dxa"/>
            <w:tcBorders>
              <w:top w:val="nil"/>
              <w:left w:val="nil"/>
              <w:bottom w:val="single" w:sz="8" w:space="0" w:color="auto"/>
              <w:right w:val="single" w:sz="8" w:space="0" w:color="auto"/>
            </w:tcBorders>
            <w:shd w:val="clear" w:color="auto" w:fill="auto"/>
            <w:vAlign w:val="center"/>
          </w:tcPr>
          <w:p w14:paraId="5B6CA827"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943</w:t>
            </w:r>
          </w:p>
        </w:tc>
        <w:tc>
          <w:tcPr>
            <w:tcW w:w="743" w:type="dxa"/>
            <w:tcBorders>
              <w:top w:val="nil"/>
              <w:left w:val="nil"/>
              <w:bottom w:val="single" w:sz="8" w:space="0" w:color="auto"/>
              <w:right w:val="single" w:sz="8" w:space="0" w:color="auto"/>
            </w:tcBorders>
            <w:shd w:val="clear" w:color="auto" w:fill="auto"/>
            <w:noWrap/>
            <w:vAlign w:val="center"/>
          </w:tcPr>
          <w:p w14:paraId="727BCC10"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27.732</w:t>
            </w:r>
          </w:p>
        </w:tc>
        <w:tc>
          <w:tcPr>
            <w:tcW w:w="833" w:type="dxa"/>
            <w:tcBorders>
              <w:top w:val="nil"/>
              <w:left w:val="nil"/>
              <w:bottom w:val="single" w:sz="8" w:space="0" w:color="auto"/>
              <w:right w:val="single" w:sz="8" w:space="0" w:color="auto"/>
            </w:tcBorders>
            <w:shd w:val="clear" w:color="auto" w:fill="auto"/>
            <w:noWrap/>
            <w:vAlign w:val="center"/>
          </w:tcPr>
          <w:p w14:paraId="1250713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26.430</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3314C22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56.974</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3E69CE6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51.687</w:t>
            </w:r>
          </w:p>
        </w:tc>
      </w:tr>
      <w:tr w:rsidR="002B4E0C" w:rsidRPr="00512BE3" w14:paraId="1334E550"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516DED83"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EX-D</w:t>
            </w:r>
          </w:p>
        </w:tc>
        <w:tc>
          <w:tcPr>
            <w:tcW w:w="743" w:type="dxa"/>
            <w:tcBorders>
              <w:top w:val="nil"/>
              <w:left w:val="single" w:sz="8" w:space="0" w:color="auto"/>
              <w:bottom w:val="single" w:sz="8" w:space="0" w:color="auto"/>
              <w:right w:val="single" w:sz="8" w:space="0" w:color="auto"/>
            </w:tcBorders>
            <w:shd w:val="clear" w:color="auto" w:fill="auto"/>
            <w:vAlign w:val="center"/>
          </w:tcPr>
          <w:p w14:paraId="013D8F0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2.267</w:t>
            </w:r>
          </w:p>
        </w:tc>
        <w:tc>
          <w:tcPr>
            <w:tcW w:w="744" w:type="dxa"/>
            <w:tcBorders>
              <w:top w:val="nil"/>
              <w:left w:val="nil"/>
              <w:bottom w:val="single" w:sz="8" w:space="0" w:color="auto"/>
              <w:right w:val="single" w:sz="8" w:space="0" w:color="auto"/>
            </w:tcBorders>
            <w:shd w:val="clear" w:color="auto" w:fill="auto"/>
            <w:vAlign w:val="center"/>
          </w:tcPr>
          <w:p w14:paraId="31A51AF2"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2.408</w:t>
            </w:r>
          </w:p>
        </w:tc>
        <w:tc>
          <w:tcPr>
            <w:tcW w:w="743" w:type="dxa"/>
            <w:tcBorders>
              <w:top w:val="nil"/>
              <w:left w:val="nil"/>
              <w:bottom w:val="single" w:sz="8" w:space="0" w:color="auto"/>
              <w:right w:val="single" w:sz="8" w:space="0" w:color="auto"/>
            </w:tcBorders>
            <w:shd w:val="clear" w:color="auto" w:fill="auto"/>
            <w:vAlign w:val="center"/>
          </w:tcPr>
          <w:p w14:paraId="2607851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1126</w:t>
            </w:r>
          </w:p>
        </w:tc>
        <w:tc>
          <w:tcPr>
            <w:tcW w:w="744" w:type="dxa"/>
            <w:tcBorders>
              <w:top w:val="nil"/>
              <w:left w:val="nil"/>
              <w:bottom w:val="single" w:sz="8" w:space="0" w:color="auto"/>
              <w:right w:val="single" w:sz="8" w:space="0" w:color="auto"/>
            </w:tcBorders>
            <w:shd w:val="clear" w:color="auto" w:fill="auto"/>
            <w:vAlign w:val="center"/>
          </w:tcPr>
          <w:p w14:paraId="098A8EA8"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1173</w:t>
            </w:r>
          </w:p>
        </w:tc>
        <w:tc>
          <w:tcPr>
            <w:tcW w:w="743" w:type="dxa"/>
            <w:tcBorders>
              <w:top w:val="nil"/>
              <w:left w:val="nil"/>
              <w:bottom w:val="single" w:sz="8" w:space="0" w:color="auto"/>
              <w:right w:val="single" w:sz="8" w:space="0" w:color="auto"/>
            </w:tcBorders>
            <w:shd w:val="clear" w:color="auto" w:fill="auto"/>
            <w:vAlign w:val="center"/>
          </w:tcPr>
          <w:p w14:paraId="238F681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3.025</w:t>
            </w:r>
          </w:p>
        </w:tc>
        <w:tc>
          <w:tcPr>
            <w:tcW w:w="744" w:type="dxa"/>
            <w:tcBorders>
              <w:top w:val="nil"/>
              <w:left w:val="nil"/>
              <w:bottom w:val="single" w:sz="8" w:space="0" w:color="auto"/>
              <w:right w:val="single" w:sz="8" w:space="0" w:color="auto"/>
            </w:tcBorders>
            <w:shd w:val="clear" w:color="auto" w:fill="auto"/>
            <w:vAlign w:val="center"/>
          </w:tcPr>
          <w:p w14:paraId="4F98D3CB"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3.414</w:t>
            </w:r>
          </w:p>
        </w:tc>
        <w:tc>
          <w:tcPr>
            <w:tcW w:w="743" w:type="dxa"/>
            <w:tcBorders>
              <w:top w:val="nil"/>
              <w:left w:val="nil"/>
              <w:bottom w:val="single" w:sz="8" w:space="0" w:color="auto"/>
              <w:right w:val="single" w:sz="8" w:space="0" w:color="auto"/>
            </w:tcBorders>
            <w:shd w:val="clear" w:color="auto" w:fill="auto"/>
            <w:noWrap/>
            <w:vAlign w:val="center"/>
          </w:tcPr>
          <w:p w14:paraId="3501F2F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1.005</w:t>
            </w:r>
          </w:p>
        </w:tc>
        <w:tc>
          <w:tcPr>
            <w:tcW w:w="833" w:type="dxa"/>
            <w:tcBorders>
              <w:top w:val="nil"/>
              <w:left w:val="nil"/>
              <w:bottom w:val="single" w:sz="8" w:space="0" w:color="auto"/>
              <w:right w:val="single" w:sz="8" w:space="0" w:color="auto"/>
            </w:tcBorders>
            <w:shd w:val="clear" w:color="auto" w:fill="auto"/>
            <w:noWrap/>
            <w:vAlign w:val="center"/>
          </w:tcPr>
          <w:p w14:paraId="26D3CD25"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835</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2671DA3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7.423</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78CE08C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7.830</w:t>
            </w:r>
          </w:p>
        </w:tc>
      </w:tr>
      <w:tr w:rsidR="002B4E0C" w:rsidRPr="00512BE3" w14:paraId="0136972C"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6F4DE821"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EX-E</w:t>
            </w:r>
          </w:p>
        </w:tc>
        <w:tc>
          <w:tcPr>
            <w:tcW w:w="743" w:type="dxa"/>
            <w:tcBorders>
              <w:top w:val="nil"/>
              <w:left w:val="single" w:sz="8" w:space="0" w:color="auto"/>
              <w:bottom w:val="single" w:sz="8" w:space="0" w:color="auto"/>
              <w:right w:val="single" w:sz="8" w:space="0" w:color="auto"/>
            </w:tcBorders>
            <w:shd w:val="clear" w:color="auto" w:fill="auto"/>
            <w:vAlign w:val="center"/>
          </w:tcPr>
          <w:p w14:paraId="1ACF316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645</w:t>
            </w:r>
          </w:p>
        </w:tc>
        <w:tc>
          <w:tcPr>
            <w:tcW w:w="744" w:type="dxa"/>
            <w:tcBorders>
              <w:top w:val="nil"/>
              <w:left w:val="nil"/>
              <w:bottom w:val="single" w:sz="8" w:space="0" w:color="auto"/>
              <w:right w:val="single" w:sz="8" w:space="0" w:color="auto"/>
            </w:tcBorders>
            <w:shd w:val="clear" w:color="auto" w:fill="auto"/>
            <w:vAlign w:val="center"/>
          </w:tcPr>
          <w:p w14:paraId="19A7EAC2"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694</w:t>
            </w:r>
          </w:p>
        </w:tc>
        <w:tc>
          <w:tcPr>
            <w:tcW w:w="743" w:type="dxa"/>
            <w:tcBorders>
              <w:top w:val="nil"/>
              <w:left w:val="nil"/>
              <w:bottom w:val="single" w:sz="8" w:space="0" w:color="auto"/>
              <w:right w:val="single" w:sz="8" w:space="0" w:color="auto"/>
            </w:tcBorders>
            <w:shd w:val="clear" w:color="auto" w:fill="auto"/>
            <w:vAlign w:val="center"/>
          </w:tcPr>
          <w:p w14:paraId="59E5C4E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214</w:t>
            </w:r>
          </w:p>
        </w:tc>
        <w:tc>
          <w:tcPr>
            <w:tcW w:w="744" w:type="dxa"/>
            <w:tcBorders>
              <w:top w:val="nil"/>
              <w:left w:val="nil"/>
              <w:bottom w:val="single" w:sz="8" w:space="0" w:color="auto"/>
              <w:right w:val="single" w:sz="8" w:space="0" w:color="auto"/>
            </w:tcBorders>
            <w:shd w:val="clear" w:color="auto" w:fill="auto"/>
            <w:vAlign w:val="center"/>
          </w:tcPr>
          <w:p w14:paraId="5EBED29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224</w:t>
            </w:r>
          </w:p>
        </w:tc>
        <w:tc>
          <w:tcPr>
            <w:tcW w:w="743" w:type="dxa"/>
            <w:tcBorders>
              <w:top w:val="nil"/>
              <w:left w:val="nil"/>
              <w:bottom w:val="single" w:sz="8" w:space="0" w:color="auto"/>
              <w:right w:val="single" w:sz="8" w:space="0" w:color="auto"/>
            </w:tcBorders>
            <w:shd w:val="clear" w:color="auto" w:fill="auto"/>
            <w:vAlign w:val="center"/>
          </w:tcPr>
          <w:p w14:paraId="59A2B9E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1.662</w:t>
            </w:r>
          </w:p>
        </w:tc>
        <w:tc>
          <w:tcPr>
            <w:tcW w:w="744" w:type="dxa"/>
            <w:tcBorders>
              <w:top w:val="nil"/>
              <w:left w:val="nil"/>
              <w:bottom w:val="single" w:sz="8" w:space="0" w:color="auto"/>
              <w:right w:val="single" w:sz="8" w:space="0" w:color="auto"/>
            </w:tcBorders>
            <w:shd w:val="clear" w:color="auto" w:fill="auto"/>
            <w:vAlign w:val="center"/>
          </w:tcPr>
          <w:p w14:paraId="52C3EB0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1.090</w:t>
            </w:r>
          </w:p>
        </w:tc>
        <w:tc>
          <w:tcPr>
            <w:tcW w:w="743" w:type="dxa"/>
            <w:tcBorders>
              <w:top w:val="nil"/>
              <w:left w:val="nil"/>
              <w:bottom w:val="single" w:sz="8" w:space="0" w:color="auto"/>
              <w:right w:val="single" w:sz="8" w:space="0" w:color="auto"/>
            </w:tcBorders>
            <w:shd w:val="clear" w:color="auto" w:fill="auto"/>
            <w:noWrap/>
            <w:vAlign w:val="center"/>
          </w:tcPr>
          <w:p w14:paraId="411D3AC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392</w:t>
            </w:r>
          </w:p>
        </w:tc>
        <w:tc>
          <w:tcPr>
            <w:tcW w:w="833" w:type="dxa"/>
            <w:tcBorders>
              <w:top w:val="nil"/>
              <w:left w:val="nil"/>
              <w:bottom w:val="single" w:sz="8" w:space="0" w:color="auto"/>
              <w:right w:val="single" w:sz="8" w:space="0" w:color="auto"/>
            </w:tcBorders>
            <w:shd w:val="clear" w:color="auto" w:fill="auto"/>
            <w:noWrap/>
            <w:vAlign w:val="center"/>
          </w:tcPr>
          <w:p w14:paraId="19648AB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441</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412B08B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2.913</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2AFB2E93"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2.449</w:t>
            </w:r>
          </w:p>
        </w:tc>
      </w:tr>
      <w:tr w:rsidR="002B4E0C" w:rsidRPr="00512BE3" w14:paraId="477EA831"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26521754"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IM-H</w:t>
            </w:r>
          </w:p>
        </w:tc>
        <w:tc>
          <w:tcPr>
            <w:tcW w:w="743" w:type="dxa"/>
            <w:tcBorders>
              <w:top w:val="nil"/>
              <w:left w:val="single" w:sz="8" w:space="0" w:color="auto"/>
              <w:bottom w:val="single" w:sz="8" w:space="0" w:color="auto"/>
              <w:right w:val="single" w:sz="8" w:space="0" w:color="auto"/>
            </w:tcBorders>
            <w:shd w:val="clear" w:color="auto" w:fill="auto"/>
            <w:vAlign w:val="center"/>
          </w:tcPr>
          <w:p w14:paraId="3655A8A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250.225</w:t>
            </w:r>
          </w:p>
        </w:tc>
        <w:tc>
          <w:tcPr>
            <w:tcW w:w="744" w:type="dxa"/>
            <w:tcBorders>
              <w:top w:val="nil"/>
              <w:left w:val="nil"/>
              <w:bottom w:val="single" w:sz="8" w:space="0" w:color="auto"/>
              <w:right w:val="single" w:sz="8" w:space="0" w:color="auto"/>
            </w:tcBorders>
            <w:shd w:val="clear" w:color="auto" w:fill="auto"/>
            <w:vAlign w:val="center"/>
          </w:tcPr>
          <w:p w14:paraId="0F345B1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252.694</w:t>
            </w:r>
          </w:p>
        </w:tc>
        <w:tc>
          <w:tcPr>
            <w:tcW w:w="743" w:type="dxa"/>
            <w:tcBorders>
              <w:top w:val="nil"/>
              <w:left w:val="nil"/>
              <w:bottom w:val="single" w:sz="8" w:space="0" w:color="auto"/>
              <w:right w:val="single" w:sz="8" w:space="0" w:color="auto"/>
            </w:tcBorders>
            <w:shd w:val="clear" w:color="auto" w:fill="auto"/>
            <w:vAlign w:val="center"/>
          </w:tcPr>
          <w:p w14:paraId="66981F2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105102</w:t>
            </w:r>
          </w:p>
        </w:tc>
        <w:tc>
          <w:tcPr>
            <w:tcW w:w="744" w:type="dxa"/>
            <w:tcBorders>
              <w:top w:val="nil"/>
              <w:left w:val="nil"/>
              <w:bottom w:val="single" w:sz="8" w:space="0" w:color="auto"/>
              <w:right w:val="single" w:sz="8" w:space="0" w:color="auto"/>
            </w:tcBorders>
            <w:shd w:val="clear" w:color="auto" w:fill="auto"/>
            <w:vAlign w:val="center"/>
          </w:tcPr>
          <w:p w14:paraId="74EF2CA5"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98946</w:t>
            </w:r>
          </w:p>
        </w:tc>
        <w:tc>
          <w:tcPr>
            <w:tcW w:w="743" w:type="dxa"/>
            <w:tcBorders>
              <w:top w:val="nil"/>
              <w:left w:val="nil"/>
              <w:bottom w:val="single" w:sz="8" w:space="0" w:color="auto"/>
              <w:right w:val="single" w:sz="8" w:space="0" w:color="auto"/>
            </w:tcBorders>
            <w:shd w:val="clear" w:color="auto" w:fill="auto"/>
            <w:vAlign w:val="center"/>
          </w:tcPr>
          <w:p w14:paraId="1690B938"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184.313</w:t>
            </w:r>
          </w:p>
        </w:tc>
        <w:tc>
          <w:tcPr>
            <w:tcW w:w="744" w:type="dxa"/>
            <w:tcBorders>
              <w:top w:val="nil"/>
              <w:left w:val="nil"/>
              <w:bottom w:val="single" w:sz="8" w:space="0" w:color="auto"/>
              <w:right w:val="single" w:sz="8" w:space="0" w:color="auto"/>
            </w:tcBorders>
            <w:shd w:val="clear" w:color="auto" w:fill="auto"/>
            <w:vAlign w:val="center"/>
          </w:tcPr>
          <w:p w14:paraId="491E55D0"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181.083</w:t>
            </w:r>
          </w:p>
        </w:tc>
        <w:tc>
          <w:tcPr>
            <w:tcW w:w="743" w:type="dxa"/>
            <w:tcBorders>
              <w:top w:val="nil"/>
              <w:left w:val="nil"/>
              <w:bottom w:val="single" w:sz="8" w:space="0" w:color="auto"/>
              <w:right w:val="single" w:sz="8" w:space="0" w:color="auto"/>
            </w:tcBorders>
            <w:shd w:val="clear" w:color="auto" w:fill="auto"/>
            <w:noWrap/>
            <w:vAlign w:val="center"/>
          </w:tcPr>
          <w:p w14:paraId="2BCED67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200.543</w:t>
            </w:r>
          </w:p>
        </w:tc>
        <w:tc>
          <w:tcPr>
            <w:tcW w:w="833" w:type="dxa"/>
            <w:tcBorders>
              <w:top w:val="nil"/>
              <w:left w:val="nil"/>
              <w:bottom w:val="single" w:sz="8" w:space="0" w:color="auto"/>
              <w:right w:val="single" w:sz="8" w:space="0" w:color="auto"/>
            </w:tcBorders>
            <w:shd w:val="clear" w:color="auto" w:fill="auto"/>
            <w:noWrap/>
            <w:vAlign w:val="center"/>
          </w:tcPr>
          <w:p w14:paraId="39058AA3"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197.561</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24A46409"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740.183</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519E786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730.284</w:t>
            </w:r>
          </w:p>
        </w:tc>
      </w:tr>
      <w:tr w:rsidR="002B4E0C" w:rsidRPr="00512BE3" w14:paraId="1AA276D6"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61073B49"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IM-I</w:t>
            </w:r>
          </w:p>
        </w:tc>
        <w:tc>
          <w:tcPr>
            <w:tcW w:w="743" w:type="dxa"/>
            <w:tcBorders>
              <w:top w:val="nil"/>
              <w:left w:val="single" w:sz="8" w:space="0" w:color="auto"/>
              <w:bottom w:val="single" w:sz="8" w:space="0" w:color="auto"/>
              <w:right w:val="single" w:sz="8" w:space="0" w:color="auto"/>
            </w:tcBorders>
            <w:shd w:val="clear" w:color="auto" w:fill="auto"/>
            <w:vAlign w:val="center"/>
          </w:tcPr>
          <w:p w14:paraId="6D7A5767"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12.327</w:t>
            </w:r>
          </w:p>
        </w:tc>
        <w:tc>
          <w:tcPr>
            <w:tcW w:w="744" w:type="dxa"/>
            <w:tcBorders>
              <w:top w:val="nil"/>
              <w:left w:val="nil"/>
              <w:bottom w:val="single" w:sz="8" w:space="0" w:color="auto"/>
              <w:right w:val="single" w:sz="8" w:space="0" w:color="auto"/>
            </w:tcBorders>
            <w:shd w:val="clear" w:color="auto" w:fill="auto"/>
            <w:vAlign w:val="center"/>
          </w:tcPr>
          <w:p w14:paraId="0977FC3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11.938</w:t>
            </w:r>
          </w:p>
        </w:tc>
        <w:tc>
          <w:tcPr>
            <w:tcW w:w="743" w:type="dxa"/>
            <w:tcBorders>
              <w:top w:val="nil"/>
              <w:left w:val="nil"/>
              <w:bottom w:val="single" w:sz="8" w:space="0" w:color="auto"/>
              <w:right w:val="single" w:sz="8" w:space="0" w:color="auto"/>
            </w:tcBorders>
            <w:shd w:val="clear" w:color="auto" w:fill="auto"/>
            <w:vAlign w:val="center"/>
          </w:tcPr>
          <w:p w14:paraId="5B14605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5423</w:t>
            </w:r>
          </w:p>
        </w:tc>
        <w:tc>
          <w:tcPr>
            <w:tcW w:w="744" w:type="dxa"/>
            <w:tcBorders>
              <w:top w:val="nil"/>
              <w:left w:val="nil"/>
              <w:bottom w:val="single" w:sz="8" w:space="0" w:color="auto"/>
              <w:right w:val="single" w:sz="8" w:space="0" w:color="auto"/>
            </w:tcBorders>
            <w:shd w:val="clear" w:color="auto" w:fill="auto"/>
            <w:vAlign w:val="center"/>
          </w:tcPr>
          <w:p w14:paraId="37C0BB9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4524</w:t>
            </w:r>
          </w:p>
        </w:tc>
        <w:tc>
          <w:tcPr>
            <w:tcW w:w="743" w:type="dxa"/>
            <w:tcBorders>
              <w:top w:val="nil"/>
              <w:left w:val="nil"/>
              <w:bottom w:val="single" w:sz="8" w:space="0" w:color="auto"/>
              <w:right w:val="single" w:sz="8" w:space="0" w:color="auto"/>
            </w:tcBorders>
            <w:shd w:val="clear" w:color="auto" w:fill="auto"/>
            <w:vAlign w:val="center"/>
          </w:tcPr>
          <w:p w14:paraId="77E8EBA9"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5.065</w:t>
            </w:r>
          </w:p>
        </w:tc>
        <w:tc>
          <w:tcPr>
            <w:tcW w:w="744" w:type="dxa"/>
            <w:tcBorders>
              <w:top w:val="nil"/>
              <w:left w:val="nil"/>
              <w:bottom w:val="single" w:sz="8" w:space="0" w:color="auto"/>
              <w:right w:val="single" w:sz="8" w:space="0" w:color="auto"/>
            </w:tcBorders>
            <w:shd w:val="clear" w:color="auto" w:fill="auto"/>
            <w:vAlign w:val="center"/>
          </w:tcPr>
          <w:p w14:paraId="3DA5BCD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5.676</w:t>
            </w:r>
          </w:p>
        </w:tc>
        <w:tc>
          <w:tcPr>
            <w:tcW w:w="743" w:type="dxa"/>
            <w:tcBorders>
              <w:top w:val="nil"/>
              <w:left w:val="nil"/>
              <w:bottom w:val="single" w:sz="8" w:space="0" w:color="auto"/>
              <w:right w:val="single" w:sz="8" w:space="0" w:color="auto"/>
            </w:tcBorders>
            <w:shd w:val="clear" w:color="auto" w:fill="auto"/>
            <w:noWrap/>
            <w:vAlign w:val="center"/>
          </w:tcPr>
          <w:p w14:paraId="1A4B378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9.514</w:t>
            </w:r>
          </w:p>
        </w:tc>
        <w:tc>
          <w:tcPr>
            <w:tcW w:w="833" w:type="dxa"/>
            <w:tcBorders>
              <w:top w:val="nil"/>
              <w:left w:val="nil"/>
              <w:bottom w:val="single" w:sz="8" w:space="0" w:color="auto"/>
              <w:right w:val="single" w:sz="8" w:space="0" w:color="auto"/>
            </w:tcBorders>
            <w:shd w:val="clear" w:color="auto" w:fill="auto"/>
            <w:noWrap/>
            <w:vAlign w:val="center"/>
          </w:tcPr>
          <w:p w14:paraId="529E670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10.420</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21E32C5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32.329</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2329EE2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32.558</w:t>
            </w:r>
          </w:p>
        </w:tc>
      </w:tr>
      <w:tr w:rsidR="002B4E0C" w:rsidRPr="00512BE3" w14:paraId="0C560CC5"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65B59E58"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IM-J</w:t>
            </w:r>
          </w:p>
        </w:tc>
        <w:tc>
          <w:tcPr>
            <w:tcW w:w="743" w:type="dxa"/>
            <w:tcBorders>
              <w:top w:val="nil"/>
              <w:left w:val="single" w:sz="8" w:space="0" w:color="auto"/>
              <w:bottom w:val="single" w:sz="8" w:space="0" w:color="auto"/>
              <w:right w:val="single" w:sz="8" w:space="0" w:color="auto"/>
            </w:tcBorders>
            <w:shd w:val="clear" w:color="auto" w:fill="auto"/>
            <w:vAlign w:val="center"/>
          </w:tcPr>
          <w:p w14:paraId="0388956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2.610</w:t>
            </w:r>
          </w:p>
        </w:tc>
        <w:tc>
          <w:tcPr>
            <w:tcW w:w="744" w:type="dxa"/>
            <w:tcBorders>
              <w:top w:val="nil"/>
              <w:left w:val="nil"/>
              <w:bottom w:val="single" w:sz="8" w:space="0" w:color="auto"/>
              <w:right w:val="single" w:sz="8" w:space="0" w:color="auto"/>
            </w:tcBorders>
            <w:shd w:val="clear" w:color="auto" w:fill="auto"/>
            <w:vAlign w:val="center"/>
          </w:tcPr>
          <w:p w14:paraId="29D928F3"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2.561</w:t>
            </w:r>
          </w:p>
        </w:tc>
        <w:tc>
          <w:tcPr>
            <w:tcW w:w="743" w:type="dxa"/>
            <w:tcBorders>
              <w:top w:val="nil"/>
              <w:left w:val="nil"/>
              <w:bottom w:val="single" w:sz="8" w:space="0" w:color="auto"/>
              <w:right w:val="single" w:sz="8" w:space="0" w:color="auto"/>
            </w:tcBorders>
            <w:shd w:val="clear" w:color="auto" w:fill="auto"/>
            <w:vAlign w:val="center"/>
          </w:tcPr>
          <w:p w14:paraId="0B04CE85"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2442</w:t>
            </w:r>
          </w:p>
        </w:tc>
        <w:tc>
          <w:tcPr>
            <w:tcW w:w="744" w:type="dxa"/>
            <w:tcBorders>
              <w:top w:val="nil"/>
              <w:left w:val="nil"/>
              <w:bottom w:val="single" w:sz="8" w:space="0" w:color="auto"/>
              <w:right w:val="single" w:sz="8" w:space="0" w:color="auto"/>
            </w:tcBorders>
            <w:shd w:val="clear" w:color="auto" w:fill="auto"/>
            <w:vAlign w:val="center"/>
          </w:tcPr>
          <w:p w14:paraId="5273686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2156</w:t>
            </w:r>
          </w:p>
        </w:tc>
        <w:tc>
          <w:tcPr>
            <w:tcW w:w="743" w:type="dxa"/>
            <w:tcBorders>
              <w:top w:val="nil"/>
              <w:left w:val="nil"/>
              <w:bottom w:val="single" w:sz="8" w:space="0" w:color="auto"/>
              <w:right w:val="single" w:sz="8" w:space="0" w:color="auto"/>
            </w:tcBorders>
            <w:shd w:val="clear" w:color="auto" w:fill="auto"/>
            <w:vAlign w:val="center"/>
          </w:tcPr>
          <w:p w14:paraId="307A32E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3.422</w:t>
            </w:r>
          </w:p>
        </w:tc>
        <w:tc>
          <w:tcPr>
            <w:tcW w:w="744" w:type="dxa"/>
            <w:tcBorders>
              <w:top w:val="nil"/>
              <w:left w:val="nil"/>
              <w:bottom w:val="single" w:sz="8" w:space="0" w:color="auto"/>
              <w:right w:val="single" w:sz="8" w:space="0" w:color="auto"/>
            </w:tcBorders>
            <w:shd w:val="clear" w:color="auto" w:fill="auto"/>
            <w:vAlign w:val="center"/>
          </w:tcPr>
          <w:p w14:paraId="5B00AEA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3.033</w:t>
            </w:r>
          </w:p>
        </w:tc>
        <w:tc>
          <w:tcPr>
            <w:tcW w:w="743" w:type="dxa"/>
            <w:tcBorders>
              <w:top w:val="nil"/>
              <w:left w:val="nil"/>
              <w:bottom w:val="single" w:sz="8" w:space="0" w:color="auto"/>
              <w:right w:val="single" w:sz="8" w:space="0" w:color="auto"/>
            </w:tcBorders>
            <w:shd w:val="clear" w:color="auto" w:fill="auto"/>
            <w:noWrap/>
            <w:vAlign w:val="center"/>
          </w:tcPr>
          <w:p w14:paraId="4439F0F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2.452</w:t>
            </w:r>
          </w:p>
        </w:tc>
        <w:tc>
          <w:tcPr>
            <w:tcW w:w="833" w:type="dxa"/>
            <w:tcBorders>
              <w:top w:val="nil"/>
              <w:left w:val="nil"/>
              <w:bottom w:val="single" w:sz="8" w:space="0" w:color="auto"/>
              <w:right w:val="single" w:sz="8" w:space="0" w:color="auto"/>
            </w:tcBorders>
            <w:shd w:val="clear" w:color="auto" w:fill="auto"/>
            <w:noWrap/>
            <w:vAlign w:val="center"/>
          </w:tcPr>
          <w:p w14:paraId="7DDF51C8"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2.162</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7B515C1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10.926</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7B47CB7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9.912</w:t>
            </w:r>
          </w:p>
        </w:tc>
      </w:tr>
      <w:tr w:rsidR="002B4E0C" w:rsidRPr="00512BE3" w14:paraId="6C891B7F" w14:textId="77777777" w:rsidTr="002B4E0C">
        <w:trPr>
          <w:trHeight w:val="247"/>
        </w:trPr>
        <w:tc>
          <w:tcPr>
            <w:tcW w:w="1122" w:type="dxa"/>
            <w:tcBorders>
              <w:top w:val="nil"/>
              <w:left w:val="single" w:sz="8" w:space="0" w:color="auto"/>
              <w:bottom w:val="single" w:sz="8" w:space="0" w:color="auto"/>
              <w:right w:val="nil"/>
            </w:tcBorders>
            <w:shd w:val="clear" w:color="auto" w:fill="auto"/>
            <w:noWrap/>
            <w:vAlign w:val="center"/>
            <w:hideMark/>
          </w:tcPr>
          <w:p w14:paraId="5C34A85F"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IM-K</w:t>
            </w:r>
          </w:p>
        </w:tc>
        <w:tc>
          <w:tcPr>
            <w:tcW w:w="743" w:type="dxa"/>
            <w:tcBorders>
              <w:top w:val="nil"/>
              <w:left w:val="single" w:sz="8" w:space="0" w:color="auto"/>
              <w:bottom w:val="single" w:sz="8" w:space="0" w:color="auto"/>
              <w:right w:val="single" w:sz="8" w:space="0" w:color="auto"/>
            </w:tcBorders>
            <w:shd w:val="clear" w:color="auto" w:fill="auto"/>
            <w:vAlign w:val="center"/>
          </w:tcPr>
          <w:p w14:paraId="6B2C374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631</w:t>
            </w:r>
          </w:p>
        </w:tc>
        <w:tc>
          <w:tcPr>
            <w:tcW w:w="744" w:type="dxa"/>
            <w:tcBorders>
              <w:top w:val="nil"/>
              <w:left w:val="nil"/>
              <w:bottom w:val="single" w:sz="8" w:space="0" w:color="auto"/>
              <w:right w:val="single" w:sz="8" w:space="0" w:color="auto"/>
            </w:tcBorders>
            <w:shd w:val="clear" w:color="auto" w:fill="auto"/>
            <w:vAlign w:val="center"/>
          </w:tcPr>
          <w:p w14:paraId="1A52694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594</w:t>
            </w:r>
          </w:p>
        </w:tc>
        <w:tc>
          <w:tcPr>
            <w:tcW w:w="743" w:type="dxa"/>
            <w:tcBorders>
              <w:top w:val="nil"/>
              <w:left w:val="nil"/>
              <w:bottom w:val="single" w:sz="8" w:space="0" w:color="auto"/>
              <w:right w:val="single" w:sz="8" w:space="0" w:color="auto"/>
            </w:tcBorders>
            <w:shd w:val="clear" w:color="auto" w:fill="auto"/>
            <w:vAlign w:val="center"/>
          </w:tcPr>
          <w:p w14:paraId="669E913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0</w:t>
            </w:r>
          </w:p>
        </w:tc>
        <w:tc>
          <w:tcPr>
            <w:tcW w:w="744" w:type="dxa"/>
            <w:tcBorders>
              <w:top w:val="nil"/>
              <w:left w:val="nil"/>
              <w:bottom w:val="single" w:sz="8" w:space="0" w:color="auto"/>
              <w:right w:val="single" w:sz="8" w:space="0" w:color="auto"/>
            </w:tcBorders>
            <w:shd w:val="clear" w:color="auto" w:fill="auto"/>
            <w:vAlign w:val="center"/>
          </w:tcPr>
          <w:p w14:paraId="6C3556B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0</w:t>
            </w:r>
          </w:p>
        </w:tc>
        <w:tc>
          <w:tcPr>
            <w:tcW w:w="743" w:type="dxa"/>
            <w:tcBorders>
              <w:top w:val="single" w:sz="4" w:space="0" w:color="auto"/>
              <w:left w:val="single" w:sz="8" w:space="0" w:color="auto"/>
              <w:bottom w:val="nil"/>
              <w:right w:val="single" w:sz="4" w:space="0" w:color="auto"/>
            </w:tcBorders>
            <w:shd w:val="clear" w:color="auto" w:fill="auto"/>
            <w:vAlign w:val="center"/>
          </w:tcPr>
          <w:p w14:paraId="554DDBF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0</w:t>
            </w:r>
          </w:p>
        </w:tc>
        <w:tc>
          <w:tcPr>
            <w:tcW w:w="744" w:type="dxa"/>
            <w:tcBorders>
              <w:top w:val="single" w:sz="4" w:space="0" w:color="auto"/>
              <w:left w:val="single" w:sz="8" w:space="0" w:color="auto"/>
              <w:bottom w:val="nil"/>
              <w:right w:val="single" w:sz="4" w:space="0" w:color="auto"/>
            </w:tcBorders>
            <w:shd w:val="clear" w:color="auto" w:fill="auto"/>
            <w:vAlign w:val="center"/>
          </w:tcPr>
          <w:p w14:paraId="26FB7E73"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0 </w:t>
            </w:r>
          </w:p>
        </w:tc>
        <w:tc>
          <w:tcPr>
            <w:tcW w:w="743" w:type="dxa"/>
            <w:tcBorders>
              <w:top w:val="nil"/>
              <w:left w:val="nil"/>
              <w:bottom w:val="single" w:sz="8" w:space="0" w:color="auto"/>
              <w:right w:val="single" w:sz="8" w:space="0" w:color="auto"/>
            </w:tcBorders>
            <w:shd w:val="clear" w:color="auto" w:fill="auto"/>
            <w:noWrap/>
            <w:vAlign w:val="center"/>
          </w:tcPr>
          <w:p w14:paraId="192EC9B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253</w:t>
            </w:r>
          </w:p>
        </w:tc>
        <w:tc>
          <w:tcPr>
            <w:tcW w:w="833" w:type="dxa"/>
            <w:tcBorders>
              <w:top w:val="nil"/>
              <w:left w:val="nil"/>
              <w:bottom w:val="single" w:sz="8" w:space="0" w:color="auto"/>
              <w:right w:val="single" w:sz="8" w:space="0" w:color="auto"/>
            </w:tcBorders>
            <w:shd w:val="clear" w:color="auto" w:fill="auto"/>
            <w:noWrap/>
            <w:vAlign w:val="center"/>
          </w:tcPr>
          <w:p w14:paraId="32FD0CFB"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209</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30E7C610"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884</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46A6153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803</w:t>
            </w:r>
          </w:p>
        </w:tc>
      </w:tr>
      <w:tr w:rsidR="002B4E0C" w:rsidRPr="00512BE3" w14:paraId="2E8B54E2" w14:textId="77777777" w:rsidTr="002B4E0C">
        <w:trPr>
          <w:trHeight w:val="247"/>
        </w:trPr>
        <w:tc>
          <w:tcPr>
            <w:tcW w:w="1122" w:type="dxa"/>
            <w:tcBorders>
              <w:top w:val="nil"/>
              <w:left w:val="single" w:sz="8" w:space="0" w:color="auto"/>
              <w:bottom w:val="single" w:sz="8" w:space="0" w:color="auto"/>
              <w:right w:val="single" w:sz="8" w:space="0" w:color="auto"/>
            </w:tcBorders>
            <w:shd w:val="clear" w:color="auto" w:fill="auto"/>
            <w:vAlign w:val="center"/>
            <w:hideMark/>
          </w:tcPr>
          <w:p w14:paraId="62F0D7A3"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Σ EX</w:t>
            </w:r>
          </w:p>
        </w:tc>
        <w:tc>
          <w:tcPr>
            <w:tcW w:w="743" w:type="dxa"/>
            <w:tcBorders>
              <w:top w:val="single" w:sz="4" w:space="0" w:color="auto"/>
              <w:left w:val="single" w:sz="8" w:space="0" w:color="auto"/>
              <w:bottom w:val="nil"/>
              <w:right w:val="single" w:sz="4" w:space="0" w:color="auto"/>
            </w:tcBorders>
            <w:shd w:val="clear" w:color="000000" w:fill="E7E21E"/>
            <w:noWrap/>
            <w:vAlign w:val="bottom"/>
          </w:tcPr>
          <w:p w14:paraId="4C8D75D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111.807</w:t>
            </w:r>
          </w:p>
        </w:tc>
        <w:tc>
          <w:tcPr>
            <w:tcW w:w="744" w:type="dxa"/>
            <w:tcBorders>
              <w:top w:val="single" w:sz="4" w:space="0" w:color="auto"/>
              <w:left w:val="single" w:sz="8" w:space="0" w:color="auto"/>
              <w:bottom w:val="nil"/>
              <w:right w:val="single" w:sz="4" w:space="0" w:color="auto"/>
            </w:tcBorders>
            <w:shd w:val="clear" w:color="000000" w:fill="E7E21E"/>
            <w:noWrap/>
            <w:vAlign w:val="bottom"/>
          </w:tcPr>
          <w:p w14:paraId="69EE629D"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109.640</w:t>
            </w:r>
          </w:p>
        </w:tc>
        <w:tc>
          <w:tcPr>
            <w:tcW w:w="743" w:type="dxa"/>
            <w:tcBorders>
              <w:top w:val="single" w:sz="4" w:space="0" w:color="auto"/>
              <w:left w:val="single" w:sz="8" w:space="0" w:color="auto"/>
              <w:bottom w:val="nil"/>
              <w:right w:val="single" w:sz="4" w:space="0" w:color="auto"/>
            </w:tcBorders>
            <w:shd w:val="clear" w:color="000000" w:fill="E7E21E"/>
            <w:noWrap/>
            <w:vAlign w:val="bottom"/>
          </w:tcPr>
          <w:p w14:paraId="794A12F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58.793</w:t>
            </w:r>
          </w:p>
        </w:tc>
        <w:tc>
          <w:tcPr>
            <w:tcW w:w="744" w:type="dxa"/>
            <w:tcBorders>
              <w:top w:val="single" w:sz="4" w:space="0" w:color="auto"/>
              <w:left w:val="single" w:sz="8" w:space="0" w:color="auto"/>
              <w:bottom w:val="nil"/>
              <w:right w:val="single" w:sz="4" w:space="0" w:color="auto"/>
            </w:tcBorders>
            <w:shd w:val="clear" w:color="000000" w:fill="E7E21E"/>
            <w:noWrap/>
            <w:vAlign w:val="bottom"/>
          </w:tcPr>
          <w:p w14:paraId="29C7CB68"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55.833</w:t>
            </w:r>
          </w:p>
        </w:tc>
        <w:tc>
          <w:tcPr>
            <w:tcW w:w="743" w:type="dxa"/>
            <w:tcBorders>
              <w:top w:val="single" w:sz="4" w:space="0" w:color="auto"/>
              <w:left w:val="single" w:sz="8" w:space="0" w:color="auto"/>
              <w:bottom w:val="nil"/>
              <w:right w:val="single" w:sz="4" w:space="0" w:color="auto"/>
            </w:tcBorders>
            <w:shd w:val="clear" w:color="000000" w:fill="E7E21E"/>
            <w:noWrap/>
            <w:vAlign w:val="bottom"/>
          </w:tcPr>
          <w:p w14:paraId="70D3178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69.468</w:t>
            </w:r>
          </w:p>
        </w:tc>
        <w:tc>
          <w:tcPr>
            <w:tcW w:w="744" w:type="dxa"/>
            <w:tcBorders>
              <w:top w:val="single" w:sz="4" w:space="0" w:color="auto"/>
              <w:left w:val="single" w:sz="8" w:space="0" w:color="auto"/>
              <w:bottom w:val="nil"/>
              <w:right w:val="single" w:sz="4" w:space="0" w:color="auto"/>
            </w:tcBorders>
            <w:shd w:val="clear" w:color="000000" w:fill="E7E21E"/>
            <w:noWrap/>
            <w:vAlign w:val="bottom"/>
          </w:tcPr>
          <w:p w14:paraId="6D3B0343"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70.248</w:t>
            </w:r>
          </w:p>
        </w:tc>
        <w:tc>
          <w:tcPr>
            <w:tcW w:w="743" w:type="dxa"/>
            <w:tcBorders>
              <w:top w:val="single" w:sz="4" w:space="0" w:color="auto"/>
              <w:left w:val="single" w:sz="8" w:space="0" w:color="auto"/>
              <w:bottom w:val="nil"/>
              <w:right w:val="single" w:sz="4" w:space="0" w:color="auto"/>
            </w:tcBorders>
            <w:shd w:val="clear" w:color="000000" w:fill="E7E21E"/>
            <w:noWrap/>
            <w:vAlign w:val="bottom"/>
          </w:tcPr>
          <w:p w14:paraId="0BF9248B"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127.537</w:t>
            </w:r>
          </w:p>
        </w:tc>
        <w:tc>
          <w:tcPr>
            <w:tcW w:w="833" w:type="dxa"/>
            <w:tcBorders>
              <w:top w:val="single" w:sz="4" w:space="0" w:color="auto"/>
              <w:left w:val="single" w:sz="8" w:space="0" w:color="auto"/>
              <w:bottom w:val="nil"/>
              <w:right w:val="single" w:sz="4" w:space="0" w:color="auto"/>
            </w:tcBorders>
            <w:shd w:val="clear" w:color="000000" w:fill="E7E21E"/>
            <w:noWrap/>
            <w:vAlign w:val="bottom"/>
          </w:tcPr>
          <w:p w14:paraId="6FFB9E1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115.834</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22EBED83"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367.605</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50036D77"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351.555</w:t>
            </w:r>
          </w:p>
        </w:tc>
      </w:tr>
      <w:tr w:rsidR="002B4E0C" w:rsidRPr="00512BE3" w14:paraId="18A3A87E" w14:textId="77777777" w:rsidTr="002B4E0C">
        <w:trPr>
          <w:trHeight w:val="247"/>
        </w:trPr>
        <w:tc>
          <w:tcPr>
            <w:tcW w:w="1122" w:type="dxa"/>
            <w:tcBorders>
              <w:top w:val="nil"/>
              <w:left w:val="single" w:sz="8" w:space="0" w:color="auto"/>
              <w:bottom w:val="single" w:sz="8" w:space="0" w:color="auto"/>
              <w:right w:val="single" w:sz="8" w:space="0" w:color="auto"/>
            </w:tcBorders>
            <w:shd w:val="clear" w:color="auto" w:fill="auto"/>
            <w:vAlign w:val="center"/>
            <w:hideMark/>
          </w:tcPr>
          <w:p w14:paraId="32443619"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Σ IM</w:t>
            </w:r>
          </w:p>
        </w:tc>
        <w:tc>
          <w:tcPr>
            <w:tcW w:w="743"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7DDC284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265.793</w:t>
            </w:r>
          </w:p>
        </w:tc>
        <w:tc>
          <w:tcPr>
            <w:tcW w:w="744"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020346A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267.787</w:t>
            </w:r>
          </w:p>
        </w:tc>
        <w:tc>
          <w:tcPr>
            <w:tcW w:w="743"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52B93F91"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112.967</w:t>
            </w:r>
          </w:p>
        </w:tc>
        <w:tc>
          <w:tcPr>
            <w:tcW w:w="744"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27C8768B"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105.626</w:t>
            </w:r>
          </w:p>
        </w:tc>
        <w:tc>
          <w:tcPr>
            <w:tcW w:w="743"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50788D4F"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192.800</w:t>
            </w:r>
          </w:p>
        </w:tc>
        <w:tc>
          <w:tcPr>
            <w:tcW w:w="744"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3BD1EF3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189.792</w:t>
            </w:r>
          </w:p>
        </w:tc>
        <w:tc>
          <w:tcPr>
            <w:tcW w:w="743"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7FD39AF9"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212.762</w:t>
            </w:r>
          </w:p>
        </w:tc>
        <w:tc>
          <w:tcPr>
            <w:tcW w:w="833"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73ED3BE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210.352</w:t>
            </w:r>
          </w:p>
        </w:tc>
        <w:tc>
          <w:tcPr>
            <w:tcW w:w="864" w:type="dxa"/>
            <w:tcBorders>
              <w:top w:val="single" w:sz="8" w:space="0" w:color="auto"/>
              <w:left w:val="single" w:sz="8" w:space="0" w:color="auto"/>
              <w:bottom w:val="single" w:sz="4" w:space="0" w:color="auto"/>
              <w:right w:val="single" w:sz="4" w:space="0" w:color="auto"/>
            </w:tcBorders>
            <w:shd w:val="clear" w:color="000000" w:fill="E7E21E"/>
            <w:vAlign w:val="center"/>
          </w:tcPr>
          <w:p w14:paraId="6F206AC7"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784.322</w:t>
            </w:r>
          </w:p>
        </w:tc>
        <w:tc>
          <w:tcPr>
            <w:tcW w:w="865" w:type="dxa"/>
            <w:tcBorders>
              <w:top w:val="single" w:sz="8" w:space="0" w:color="auto"/>
              <w:left w:val="nil"/>
              <w:bottom w:val="single" w:sz="4" w:space="0" w:color="auto"/>
              <w:right w:val="single" w:sz="8" w:space="0" w:color="auto"/>
            </w:tcBorders>
            <w:shd w:val="clear" w:color="000000" w:fill="E7E21E"/>
            <w:vAlign w:val="center"/>
          </w:tcPr>
          <w:p w14:paraId="49AD4E5A"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773.557</w:t>
            </w:r>
          </w:p>
        </w:tc>
      </w:tr>
      <w:tr w:rsidR="002B4E0C" w:rsidRPr="00512BE3" w14:paraId="53530F42" w14:textId="77777777" w:rsidTr="002B4E0C">
        <w:trPr>
          <w:trHeight w:val="247"/>
        </w:trPr>
        <w:tc>
          <w:tcPr>
            <w:tcW w:w="1122" w:type="dxa"/>
            <w:tcBorders>
              <w:top w:val="nil"/>
              <w:left w:val="single" w:sz="8" w:space="0" w:color="auto"/>
              <w:bottom w:val="single" w:sz="8" w:space="0" w:color="auto"/>
              <w:right w:val="single" w:sz="8" w:space="0" w:color="auto"/>
            </w:tcBorders>
            <w:shd w:val="clear" w:color="auto" w:fill="auto"/>
            <w:vAlign w:val="center"/>
            <w:hideMark/>
          </w:tcPr>
          <w:p w14:paraId="59839C6C" w14:textId="77777777" w:rsidR="002B4E0C" w:rsidRPr="00512BE3" w:rsidRDefault="002B4E0C" w:rsidP="002B4E0C">
            <w:pPr>
              <w:jc w:val="center"/>
              <w:rPr>
                <w:b/>
                <w:bCs/>
                <w:color w:val="000000"/>
                <w:sz w:val="16"/>
                <w:szCs w:val="18"/>
                <w:lang w:val="sr-Latn-BA" w:eastAsia="sr-Latn-BA"/>
              </w:rPr>
            </w:pPr>
            <w:r w:rsidRPr="00512BE3">
              <w:rPr>
                <w:b/>
                <w:bCs/>
                <w:color w:val="000000"/>
                <w:sz w:val="16"/>
                <w:szCs w:val="18"/>
                <w:lang w:val="sr-Latn-BA" w:eastAsia="sr-Latn-BA"/>
              </w:rPr>
              <w:t>Σ CI</w:t>
            </w:r>
          </w:p>
        </w:tc>
        <w:tc>
          <w:tcPr>
            <w:tcW w:w="743" w:type="dxa"/>
            <w:tcBorders>
              <w:top w:val="nil"/>
              <w:left w:val="single" w:sz="8" w:space="0" w:color="auto"/>
              <w:bottom w:val="single" w:sz="8" w:space="0" w:color="auto"/>
              <w:right w:val="single" w:sz="4" w:space="0" w:color="auto"/>
            </w:tcBorders>
            <w:shd w:val="clear" w:color="000000" w:fill="E7E21E"/>
            <w:noWrap/>
            <w:vAlign w:val="bottom"/>
          </w:tcPr>
          <w:p w14:paraId="2914D359"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377.600</w:t>
            </w:r>
          </w:p>
        </w:tc>
        <w:tc>
          <w:tcPr>
            <w:tcW w:w="744" w:type="dxa"/>
            <w:tcBorders>
              <w:top w:val="nil"/>
              <w:left w:val="single" w:sz="8" w:space="0" w:color="auto"/>
              <w:bottom w:val="single" w:sz="8" w:space="0" w:color="auto"/>
              <w:right w:val="single" w:sz="4" w:space="0" w:color="auto"/>
            </w:tcBorders>
            <w:shd w:val="clear" w:color="000000" w:fill="E7E21E"/>
            <w:noWrap/>
            <w:vAlign w:val="bottom"/>
          </w:tcPr>
          <w:p w14:paraId="1EFCB75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377.427</w:t>
            </w:r>
          </w:p>
        </w:tc>
        <w:tc>
          <w:tcPr>
            <w:tcW w:w="743" w:type="dxa"/>
            <w:tcBorders>
              <w:top w:val="nil"/>
              <w:left w:val="single" w:sz="8" w:space="0" w:color="auto"/>
              <w:bottom w:val="single" w:sz="8" w:space="0" w:color="auto"/>
              <w:right w:val="single" w:sz="4" w:space="0" w:color="auto"/>
            </w:tcBorders>
            <w:shd w:val="clear" w:color="000000" w:fill="E7E21E"/>
            <w:noWrap/>
            <w:vAlign w:val="bottom"/>
          </w:tcPr>
          <w:p w14:paraId="6011DB9E"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171.760</w:t>
            </w:r>
          </w:p>
        </w:tc>
        <w:tc>
          <w:tcPr>
            <w:tcW w:w="744" w:type="dxa"/>
            <w:tcBorders>
              <w:top w:val="nil"/>
              <w:left w:val="single" w:sz="8" w:space="0" w:color="auto"/>
              <w:bottom w:val="single" w:sz="8" w:space="0" w:color="auto"/>
              <w:right w:val="single" w:sz="4" w:space="0" w:color="auto"/>
            </w:tcBorders>
            <w:shd w:val="clear" w:color="000000" w:fill="E7E21E"/>
            <w:noWrap/>
            <w:vAlign w:val="bottom"/>
          </w:tcPr>
          <w:p w14:paraId="28232EE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161.459</w:t>
            </w:r>
          </w:p>
        </w:tc>
        <w:tc>
          <w:tcPr>
            <w:tcW w:w="743" w:type="dxa"/>
            <w:tcBorders>
              <w:top w:val="nil"/>
              <w:left w:val="single" w:sz="8" w:space="0" w:color="auto"/>
              <w:bottom w:val="single" w:sz="8" w:space="0" w:color="auto"/>
              <w:right w:val="single" w:sz="4" w:space="0" w:color="auto"/>
            </w:tcBorders>
            <w:shd w:val="clear" w:color="000000" w:fill="E7E21E"/>
            <w:noWrap/>
            <w:vAlign w:val="bottom"/>
          </w:tcPr>
          <w:p w14:paraId="68CAA948"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262.268</w:t>
            </w:r>
          </w:p>
        </w:tc>
        <w:tc>
          <w:tcPr>
            <w:tcW w:w="744" w:type="dxa"/>
            <w:tcBorders>
              <w:top w:val="nil"/>
              <w:left w:val="single" w:sz="8" w:space="0" w:color="auto"/>
              <w:bottom w:val="single" w:sz="8" w:space="0" w:color="auto"/>
              <w:right w:val="single" w:sz="4" w:space="0" w:color="auto"/>
            </w:tcBorders>
            <w:shd w:val="clear" w:color="000000" w:fill="E7E21E"/>
            <w:noWrap/>
            <w:vAlign w:val="bottom"/>
          </w:tcPr>
          <w:p w14:paraId="41CD21CC"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260.040</w:t>
            </w:r>
          </w:p>
        </w:tc>
        <w:tc>
          <w:tcPr>
            <w:tcW w:w="743" w:type="dxa"/>
            <w:tcBorders>
              <w:top w:val="nil"/>
              <w:left w:val="single" w:sz="8" w:space="0" w:color="auto"/>
              <w:bottom w:val="single" w:sz="8" w:space="0" w:color="auto"/>
              <w:right w:val="single" w:sz="4" w:space="0" w:color="auto"/>
            </w:tcBorders>
            <w:shd w:val="clear" w:color="000000" w:fill="E7E21E"/>
            <w:noWrap/>
            <w:vAlign w:val="bottom"/>
          </w:tcPr>
          <w:p w14:paraId="75966580"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340.299</w:t>
            </w:r>
          </w:p>
        </w:tc>
        <w:tc>
          <w:tcPr>
            <w:tcW w:w="833" w:type="dxa"/>
            <w:tcBorders>
              <w:top w:val="nil"/>
              <w:left w:val="single" w:sz="8" w:space="0" w:color="auto"/>
              <w:bottom w:val="single" w:sz="8" w:space="0" w:color="auto"/>
              <w:right w:val="single" w:sz="4" w:space="0" w:color="auto"/>
            </w:tcBorders>
            <w:shd w:val="clear" w:color="000000" w:fill="E7E21E"/>
            <w:noWrap/>
            <w:vAlign w:val="bottom"/>
          </w:tcPr>
          <w:p w14:paraId="25C0C9E6"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326.186</w:t>
            </w:r>
          </w:p>
        </w:tc>
        <w:tc>
          <w:tcPr>
            <w:tcW w:w="864"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700E53B2"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1.151.927</w:t>
            </w:r>
          </w:p>
        </w:tc>
        <w:tc>
          <w:tcPr>
            <w:tcW w:w="865" w:type="dxa"/>
            <w:tcBorders>
              <w:top w:val="single" w:sz="8" w:space="0" w:color="auto"/>
              <w:left w:val="single" w:sz="8" w:space="0" w:color="auto"/>
              <w:bottom w:val="single" w:sz="8" w:space="0" w:color="auto"/>
              <w:right w:val="single" w:sz="4" w:space="0" w:color="auto"/>
            </w:tcBorders>
            <w:shd w:val="clear" w:color="000000" w:fill="E7E21E"/>
            <w:noWrap/>
            <w:vAlign w:val="bottom"/>
          </w:tcPr>
          <w:p w14:paraId="70ADB704" w14:textId="77777777" w:rsidR="002B4E0C" w:rsidRPr="00512BE3" w:rsidRDefault="002B4E0C" w:rsidP="002B4E0C">
            <w:pPr>
              <w:jc w:val="right"/>
              <w:rPr>
                <w:color w:val="000000"/>
                <w:sz w:val="16"/>
                <w:szCs w:val="18"/>
                <w:lang w:val="sr-Latn-BA" w:eastAsia="en-US"/>
              </w:rPr>
            </w:pPr>
            <w:r w:rsidRPr="00512BE3">
              <w:rPr>
                <w:color w:val="000000"/>
                <w:sz w:val="16"/>
                <w:szCs w:val="18"/>
                <w:lang w:val="sr-Latn-BA" w:eastAsia="en-US"/>
              </w:rPr>
              <w:t>1.125.112</w:t>
            </w:r>
          </w:p>
        </w:tc>
      </w:tr>
    </w:tbl>
    <w:p w14:paraId="3E054F15" w14:textId="6BCCD76D" w:rsidR="008C260D" w:rsidRPr="00512BE3" w:rsidRDefault="008C260D" w:rsidP="000574D5">
      <w:pPr>
        <w:pStyle w:val="Normal1"/>
        <w:spacing w:before="0" w:beforeAutospacing="0" w:after="0" w:afterAutospacing="0"/>
        <w:jc w:val="both"/>
        <w:rPr>
          <w:b/>
          <w:bCs/>
          <w:i/>
          <w:iCs/>
          <w:sz w:val="22"/>
          <w:szCs w:val="22"/>
          <w:lang w:val="hr-HR"/>
        </w:rPr>
      </w:pPr>
      <w:bookmarkStart w:id="34" w:name="table14"/>
      <w:bookmarkStart w:id="35" w:name="graphic14"/>
      <w:bookmarkStart w:id="36" w:name="graphic15"/>
      <w:bookmarkEnd w:id="34"/>
      <w:bookmarkEnd w:id="35"/>
      <w:bookmarkEnd w:id="36"/>
      <w:r w:rsidRPr="00512BE3">
        <w:rPr>
          <w:b/>
          <w:bCs/>
          <w:i/>
          <w:iCs/>
          <w:sz w:val="22"/>
          <w:szCs w:val="22"/>
          <w:lang w:val="hr-HR"/>
        </w:rPr>
        <w:t>Tabela 2</w:t>
      </w:r>
      <w:r w:rsidR="00CE5778">
        <w:rPr>
          <w:b/>
          <w:bCs/>
          <w:i/>
          <w:iCs/>
          <w:sz w:val="22"/>
          <w:szCs w:val="22"/>
          <w:lang w:val="hr-HR"/>
        </w:rPr>
        <w:t>2</w:t>
      </w:r>
      <w:r w:rsidRPr="00512BE3">
        <w:rPr>
          <w:b/>
          <w:bCs/>
          <w:i/>
          <w:iCs/>
          <w:sz w:val="22"/>
          <w:szCs w:val="22"/>
          <w:lang w:val="hr-HR"/>
        </w:rPr>
        <w:t>: Pregled uvoznih i izvoznih carinskih prijava po regionalnim centrima</w:t>
      </w:r>
    </w:p>
    <w:p w14:paraId="217F8B07" w14:textId="77777777" w:rsidR="0095417A" w:rsidRPr="00512BE3" w:rsidRDefault="0095417A" w:rsidP="0095417A">
      <w:pPr>
        <w:pStyle w:val="Normal1"/>
        <w:spacing w:before="0" w:beforeAutospacing="0" w:after="0" w:afterAutospacing="0"/>
        <w:ind w:firstLine="709"/>
        <w:rPr>
          <w:bCs/>
          <w:iCs/>
          <w:sz w:val="22"/>
          <w:szCs w:val="22"/>
          <w:lang w:val="hr-HR"/>
        </w:rPr>
      </w:pPr>
    </w:p>
    <w:p w14:paraId="6CB94426" w14:textId="00778703" w:rsidR="00801E19" w:rsidRPr="00512BE3" w:rsidRDefault="008C260D" w:rsidP="00801E19">
      <w:pPr>
        <w:pStyle w:val="Normal1"/>
        <w:spacing w:before="0" w:beforeAutospacing="0" w:after="0" w:afterAutospacing="0"/>
        <w:jc w:val="both"/>
        <w:rPr>
          <w:bCs/>
          <w:iCs/>
          <w:sz w:val="22"/>
          <w:szCs w:val="22"/>
          <w:lang w:val="hr-HR"/>
        </w:rPr>
      </w:pPr>
      <w:r w:rsidRPr="00512BE3">
        <w:rPr>
          <w:bCs/>
          <w:iCs/>
          <w:sz w:val="22"/>
          <w:szCs w:val="22"/>
          <w:lang w:val="hr-HR"/>
        </w:rPr>
        <w:t>Sektor za carine je u  2022 godini naplatio prihoda u iznosu od 7.272.329.084,30 KM, što je za 24,8% ili za  1.446.187.856,15 KM više u odnosu na prethodnu godinu, kada je naplaćeno 5.826.141.228,15 KM. Najveće povećanje ostvarenih finansijskih efekata vidljivo je u RC Mostar 36,5% ili za 433.409.712,45 KM, zatim RC Sarajevo 33,8% ili za 530.581.686,81 KM, RC Banja Luka 20,2% ili za 334.972.317,44 KM i RC Tuzla za 10,45% ili za 147.224.139,45 KM</w:t>
      </w:r>
      <w:r w:rsidR="00CE5778">
        <w:rPr>
          <w:bCs/>
          <w:iCs/>
          <w:sz w:val="22"/>
          <w:szCs w:val="22"/>
          <w:lang w:val="hr-HR"/>
        </w:rPr>
        <w:t xml:space="preserve">, što je iskazano u </w:t>
      </w:r>
      <w:r w:rsidR="00CE5778" w:rsidRPr="00CE5778">
        <w:rPr>
          <w:bCs/>
          <w:i/>
          <w:iCs/>
          <w:sz w:val="22"/>
          <w:szCs w:val="22"/>
          <w:lang w:val="hr-HR"/>
        </w:rPr>
        <w:t>Tabeli br. 23</w:t>
      </w:r>
      <w:r w:rsidRPr="00512BE3">
        <w:rPr>
          <w:bCs/>
          <w:iCs/>
          <w:sz w:val="22"/>
          <w:szCs w:val="22"/>
          <w:lang w:val="hr-HR"/>
        </w:rPr>
        <w:t>.</w:t>
      </w:r>
    </w:p>
    <w:p w14:paraId="3B772634" w14:textId="1282454B" w:rsidR="000574D5" w:rsidRPr="00512BE3" w:rsidRDefault="000574D5" w:rsidP="0095417A">
      <w:pPr>
        <w:pStyle w:val="Normal1"/>
        <w:spacing w:before="0" w:beforeAutospacing="0" w:after="0" w:afterAutospacing="0"/>
        <w:rPr>
          <w:bCs/>
          <w:iCs/>
          <w:sz w:val="22"/>
          <w:szCs w:val="22"/>
          <w:lang w:val="hr-HR"/>
        </w:rPr>
      </w:pPr>
      <w:r w:rsidRPr="00512BE3">
        <w:rPr>
          <w:b/>
          <w:bCs/>
          <w:i/>
          <w:iCs/>
          <w:sz w:val="22"/>
          <w:szCs w:val="22"/>
        </w:rPr>
        <w:t>Tabela 2</w:t>
      </w:r>
      <w:r w:rsidR="00CE5778">
        <w:rPr>
          <w:b/>
          <w:bCs/>
          <w:i/>
          <w:iCs/>
          <w:sz w:val="22"/>
          <w:szCs w:val="22"/>
        </w:rPr>
        <w:t>3</w:t>
      </w:r>
      <w:r w:rsidRPr="00512BE3">
        <w:rPr>
          <w:b/>
          <w:bCs/>
          <w:i/>
          <w:iCs/>
          <w:sz w:val="22"/>
          <w:szCs w:val="22"/>
        </w:rPr>
        <w:t xml:space="preserve">: </w:t>
      </w:r>
      <w:r w:rsidRPr="00512BE3">
        <w:rPr>
          <w:b/>
          <w:bCs/>
          <w:i/>
          <w:iCs/>
          <w:sz w:val="22"/>
          <w:szCs w:val="22"/>
          <w:lang w:val="bs-Latn-BA"/>
        </w:rPr>
        <w:t>Pregled naplaćenih prihoda u carinskom postupku po regionalnim centrima po vrstama prih</w:t>
      </w:r>
      <w:r w:rsidR="008C260D" w:rsidRPr="00512BE3">
        <w:rPr>
          <w:b/>
          <w:bCs/>
          <w:i/>
          <w:iCs/>
          <w:sz w:val="22"/>
          <w:szCs w:val="22"/>
          <w:lang w:val="bs-Latn-BA"/>
        </w:rPr>
        <w:t>oda za period 01.01.-31.12. 202</w:t>
      </w:r>
      <w:r w:rsidR="00DF7A60" w:rsidRPr="00512BE3">
        <w:rPr>
          <w:b/>
          <w:bCs/>
          <w:i/>
          <w:iCs/>
          <w:sz w:val="22"/>
          <w:szCs w:val="22"/>
          <w:lang w:val="bs-Latn-BA"/>
        </w:rPr>
        <w:t>1</w:t>
      </w:r>
      <w:r w:rsidR="008C260D" w:rsidRPr="00512BE3">
        <w:rPr>
          <w:b/>
          <w:bCs/>
          <w:i/>
          <w:iCs/>
          <w:sz w:val="22"/>
          <w:szCs w:val="22"/>
          <w:lang w:val="bs-Latn-BA"/>
        </w:rPr>
        <w:t>/202</w:t>
      </w:r>
      <w:r w:rsidR="00DF7A60" w:rsidRPr="00512BE3">
        <w:rPr>
          <w:b/>
          <w:bCs/>
          <w:i/>
          <w:iCs/>
          <w:sz w:val="22"/>
          <w:szCs w:val="22"/>
          <w:lang w:val="bs-Latn-BA"/>
        </w:rPr>
        <w:t>2</w:t>
      </w:r>
      <w:r w:rsidRPr="00512BE3">
        <w:rPr>
          <w:b/>
          <w:bCs/>
          <w:i/>
          <w:iCs/>
          <w:sz w:val="22"/>
          <w:szCs w:val="22"/>
          <w:lang w:val="bs-Latn-BA"/>
        </w:rPr>
        <w:t xml:space="preserve"> godine</w:t>
      </w:r>
    </w:p>
    <w:tbl>
      <w:tblPr>
        <w:tblW w:w="8885" w:type="dxa"/>
        <w:tblInd w:w="-10" w:type="dxa"/>
        <w:tblLook w:val="04A0" w:firstRow="1" w:lastRow="0" w:firstColumn="1" w:lastColumn="0" w:noHBand="0" w:noVBand="1"/>
      </w:tblPr>
      <w:tblGrid>
        <w:gridCol w:w="3828"/>
        <w:gridCol w:w="1784"/>
        <w:gridCol w:w="1777"/>
        <w:gridCol w:w="1496"/>
      </w:tblGrid>
      <w:tr w:rsidR="008C260D" w:rsidRPr="00512BE3" w14:paraId="62DEFB96" w14:textId="77777777" w:rsidTr="008C260D">
        <w:trPr>
          <w:trHeight w:val="221"/>
        </w:trPr>
        <w:tc>
          <w:tcPr>
            <w:tcW w:w="8885" w:type="dxa"/>
            <w:gridSpan w:val="4"/>
            <w:tcBorders>
              <w:top w:val="single" w:sz="8" w:space="0" w:color="auto"/>
              <w:left w:val="single" w:sz="8" w:space="0" w:color="auto"/>
              <w:bottom w:val="single" w:sz="8" w:space="0" w:color="auto"/>
              <w:right w:val="single" w:sz="8" w:space="0" w:color="000000"/>
            </w:tcBorders>
            <w:shd w:val="clear" w:color="000000" w:fill="E6B8B7"/>
            <w:vAlign w:val="center"/>
            <w:hideMark/>
          </w:tcPr>
          <w:p w14:paraId="303E58BC" w14:textId="35411042" w:rsidR="008C260D" w:rsidRPr="00512BE3" w:rsidRDefault="008C260D" w:rsidP="00DF7A60">
            <w:pPr>
              <w:jc w:val="center"/>
              <w:rPr>
                <w:b/>
                <w:bCs/>
                <w:color w:val="000000"/>
                <w:sz w:val="20"/>
                <w:szCs w:val="20"/>
                <w:lang w:val="sr-Latn-BA" w:eastAsia="sr-Latn-BA"/>
              </w:rPr>
            </w:pPr>
            <w:r w:rsidRPr="00512BE3">
              <w:rPr>
                <w:b/>
                <w:bCs/>
                <w:color w:val="000000"/>
                <w:sz w:val="20"/>
                <w:szCs w:val="20"/>
                <w:lang w:val="sr-Latn-BA" w:eastAsia="sr-Latn-BA"/>
              </w:rPr>
              <w:t>FINANSIJSKI EFEKTI PO RC  U PERIODU 01.01.-31.12</w:t>
            </w:r>
            <w:r w:rsidR="00DF7A60" w:rsidRPr="00512BE3">
              <w:rPr>
                <w:b/>
                <w:bCs/>
                <w:color w:val="000000"/>
                <w:sz w:val="20"/>
                <w:szCs w:val="20"/>
                <w:lang w:val="sr-Latn-BA" w:eastAsia="sr-Latn-BA"/>
              </w:rPr>
              <w:t>.</w:t>
            </w:r>
            <w:r w:rsidRPr="00512BE3">
              <w:rPr>
                <w:b/>
                <w:bCs/>
                <w:color w:val="000000"/>
                <w:sz w:val="20"/>
                <w:szCs w:val="20"/>
                <w:lang w:val="sr-Latn-BA" w:eastAsia="sr-Latn-BA"/>
              </w:rPr>
              <w:t>2021</w:t>
            </w:r>
            <w:r w:rsidR="00DF7A60" w:rsidRPr="00512BE3">
              <w:rPr>
                <w:b/>
                <w:bCs/>
                <w:color w:val="000000"/>
                <w:sz w:val="20"/>
                <w:szCs w:val="20"/>
                <w:lang w:val="sr-Latn-BA" w:eastAsia="sr-Latn-BA"/>
              </w:rPr>
              <w:t>/2022</w:t>
            </w:r>
            <w:r w:rsidRPr="00512BE3">
              <w:rPr>
                <w:b/>
                <w:bCs/>
                <w:color w:val="000000"/>
                <w:sz w:val="20"/>
                <w:szCs w:val="20"/>
                <w:lang w:val="sr-Latn-BA" w:eastAsia="sr-Latn-BA"/>
              </w:rPr>
              <w:t xml:space="preserve"> godine</w:t>
            </w:r>
          </w:p>
        </w:tc>
      </w:tr>
      <w:tr w:rsidR="008C260D" w:rsidRPr="00512BE3" w14:paraId="29A40C97" w14:textId="77777777" w:rsidTr="008C260D">
        <w:trPr>
          <w:trHeight w:val="365"/>
        </w:trPr>
        <w:tc>
          <w:tcPr>
            <w:tcW w:w="3828" w:type="dxa"/>
            <w:tcBorders>
              <w:top w:val="nil"/>
              <w:left w:val="single" w:sz="8" w:space="0" w:color="auto"/>
              <w:bottom w:val="single" w:sz="8" w:space="0" w:color="auto"/>
              <w:right w:val="single" w:sz="8" w:space="0" w:color="auto"/>
            </w:tcBorders>
            <w:shd w:val="clear" w:color="000000" w:fill="DCE6F1"/>
            <w:vAlign w:val="center"/>
            <w:hideMark/>
          </w:tcPr>
          <w:p w14:paraId="1F669AC9" w14:textId="77777777" w:rsidR="008C260D" w:rsidRPr="00512BE3" w:rsidRDefault="008C260D" w:rsidP="008C260D">
            <w:pPr>
              <w:jc w:val="center"/>
              <w:rPr>
                <w:b/>
                <w:bCs/>
                <w:color w:val="000000"/>
                <w:sz w:val="20"/>
                <w:szCs w:val="20"/>
                <w:lang w:val="sr-Latn-BA" w:eastAsia="sr-Latn-BA"/>
              </w:rPr>
            </w:pPr>
            <w:r w:rsidRPr="00512BE3">
              <w:rPr>
                <w:b/>
                <w:bCs/>
                <w:color w:val="000000"/>
                <w:sz w:val="20"/>
                <w:szCs w:val="20"/>
                <w:lang w:val="sr-Latn-BA" w:eastAsia="sr-Latn-BA"/>
              </w:rPr>
              <w:t xml:space="preserve">OSTVARENI FINANSIJSKI EFEKTI </w:t>
            </w:r>
          </w:p>
        </w:tc>
        <w:tc>
          <w:tcPr>
            <w:tcW w:w="1784" w:type="dxa"/>
            <w:tcBorders>
              <w:top w:val="nil"/>
              <w:left w:val="nil"/>
              <w:bottom w:val="single" w:sz="8" w:space="0" w:color="auto"/>
              <w:right w:val="nil"/>
            </w:tcBorders>
            <w:shd w:val="clear" w:color="000000" w:fill="DCE6F1"/>
            <w:vAlign w:val="center"/>
            <w:hideMark/>
          </w:tcPr>
          <w:p w14:paraId="3E4CDD12" w14:textId="77777777" w:rsidR="008C260D" w:rsidRPr="00512BE3" w:rsidRDefault="008C260D" w:rsidP="008C260D">
            <w:pPr>
              <w:jc w:val="center"/>
              <w:rPr>
                <w:b/>
                <w:bCs/>
                <w:color w:val="000000"/>
                <w:sz w:val="20"/>
                <w:szCs w:val="20"/>
                <w:lang w:val="sr-Latn-BA" w:eastAsia="sr-Latn-BA"/>
              </w:rPr>
            </w:pPr>
            <w:r w:rsidRPr="00512BE3">
              <w:rPr>
                <w:b/>
                <w:bCs/>
                <w:color w:val="000000"/>
                <w:sz w:val="20"/>
                <w:szCs w:val="20"/>
                <w:lang w:val="sr-Latn-BA" w:eastAsia="sr-Latn-BA"/>
              </w:rPr>
              <w:t>01.01.-31.12.2022.</w:t>
            </w:r>
          </w:p>
        </w:tc>
        <w:tc>
          <w:tcPr>
            <w:tcW w:w="1777" w:type="dxa"/>
            <w:tcBorders>
              <w:top w:val="nil"/>
              <w:left w:val="single" w:sz="8" w:space="0" w:color="auto"/>
              <w:bottom w:val="single" w:sz="8" w:space="0" w:color="auto"/>
              <w:right w:val="nil"/>
            </w:tcBorders>
            <w:shd w:val="clear" w:color="000000" w:fill="DCE6F1"/>
            <w:vAlign w:val="center"/>
            <w:hideMark/>
          </w:tcPr>
          <w:p w14:paraId="25C9E364" w14:textId="77777777" w:rsidR="008C260D" w:rsidRPr="00512BE3" w:rsidRDefault="008C260D" w:rsidP="008C260D">
            <w:pPr>
              <w:jc w:val="center"/>
              <w:rPr>
                <w:b/>
                <w:bCs/>
                <w:color w:val="000000"/>
                <w:sz w:val="20"/>
                <w:szCs w:val="20"/>
                <w:lang w:val="sr-Latn-BA" w:eastAsia="sr-Latn-BA"/>
              </w:rPr>
            </w:pPr>
            <w:r w:rsidRPr="00512BE3">
              <w:rPr>
                <w:b/>
                <w:bCs/>
                <w:color w:val="000000"/>
                <w:sz w:val="20"/>
                <w:szCs w:val="20"/>
                <w:lang w:val="sr-Latn-BA" w:eastAsia="sr-Latn-BA"/>
              </w:rPr>
              <w:t>01.01.-31.12.2021.</w:t>
            </w:r>
          </w:p>
        </w:tc>
        <w:tc>
          <w:tcPr>
            <w:tcW w:w="1496" w:type="dxa"/>
            <w:tcBorders>
              <w:top w:val="nil"/>
              <w:left w:val="single" w:sz="8" w:space="0" w:color="auto"/>
              <w:bottom w:val="single" w:sz="8" w:space="0" w:color="auto"/>
              <w:right w:val="single" w:sz="8" w:space="0" w:color="auto"/>
            </w:tcBorders>
            <w:shd w:val="clear" w:color="000000" w:fill="FFFF00"/>
            <w:vAlign w:val="center"/>
            <w:hideMark/>
          </w:tcPr>
          <w:p w14:paraId="4D2543BA" w14:textId="77777777" w:rsidR="008C260D" w:rsidRPr="00512BE3" w:rsidRDefault="008C260D" w:rsidP="008C260D">
            <w:pPr>
              <w:jc w:val="center"/>
              <w:rPr>
                <w:b/>
                <w:bCs/>
                <w:color w:val="000000"/>
                <w:sz w:val="20"/>
                <w:szCs w:val="20"/>
                <w:lang w:val="sr-Latn-BA" w:eastAsia="sr-Latn-BA"/>
              </w:rPr>
            </w:pPr>
            <w:r w:rsidRPr="00512BE3">
              <w:rPr>
                <w:b/>
                <w:bCs/>
                <w:color w:val="000000"/>
                <w:sz w:val="20"/>
                <w:szCs w:val="20"/>
                <w:lang w:val="sr-Latn-BA" w:eastAsia="sr-Latn-BA"/>
              </w:rPr>
              <w:t>2022. / 2021.</w:t>
            </w:r>
          </w:p>
        </w:tc>
      </w:tr>
      <w:tr w:rsidR="008C260D" w:rsidRPr="00512BE3" w14:paraId="4A4DCDDB" w14:textId="77777777" w:rsidTr="008C260D">
        <w:trPr>
          <w:trHeight w:val="231"/>
        </w:trPr>
        <w:tc>
          <w:tcPr>
            <w:tcW w:w="3828" w:type="dxa"/>
            <w:tcBorders>
              <w:top w:val="nil"/>
              <w:left w:val="single" w:sz="8" w:space="0" w:color="auto"/>
              <w:bottom w:val="single" w:sz="8" w:space="0" w:color="auto"/>
              <w:right w:val="single" w:sz="8" w:space="0" w:color="auto"/>
            </w:tcBorders>
            <w:shd w:val="clear" w:color="000000" w:fill="FFFFFF"/>
            <w:vAlign w:val="center"/>
            <w:hideMark/>
          </w:tcPr>
          <w:p w14:paraId="1583C46A" w14:textId="77777777" w:rsidR="008C260D" w:rsidRPr="00512BE3" w:rsidRDefault="008C260D" w:rsidP="008C260D">
            <w:pPr>
              <w:rPr>
                <w:color w:val="000000"/>
                <w:sz w:val="20"/>
                <w:szCs w:val="20"/>
                <w:lang w:val="sr-Latn-BA" w:eastAsia="sr-Latn-BA"/>
              </w:rPr>
            </w:pPr>
            <w:r w:rsidRPr="00512BE3">
              <w:rPr>
                <w:color w:val="000000"/>
                <w:sz w:val="20"/>
                <w:szCs w:val="20"/>
                <w:lang w:val="sr-Latn-BA" w:eastAsia="sr-Latn-BA"/>
              </w:rPr>
              <w:t>RC B. LUKA</w:t>
            </w:r>
          </w:p>
        </w:tc>
        <w:tc>
          <w:tcPr>
            <w:tcW w:w="1784" w:type="dxa"/>
            <w:tcBorders>
              <w:top w:val="single" w:sz="8" w:space="0" w:color="auto"/>
              <w:left w:val="single" w:sz="8" w:space="0" w:color="auto"/>
              <w:bottom w:val="single" w:sz="8" w:space="0" w:color="auto"/>
              <w:right w:val="nil"/>
            </w:tcBorders>
            <w:shd w:val="clear" w:color="000000" w:fill="92D050"/>
            <w:vAlign w:val="center"/>
          </w:tcPr>
          <w:p w14:paraId="7B12DBE3" w14:textId="77777777" w:rsidR="008C260D" w:rsidRPr="00512BE3" w:rsidRDefault="008C260D" w:rsidP="008C260D">
            <w:pPr>
              <w:jc w:val="right"/>
              <w:rPr>
                <w:color w:val="000000"/>
                <w:sz w:val="20"/>
                <w:szCs w:val="20"/>
                <w:lang w:val="en-US" w:eastAsia="en-US"/>
              </w:rPr>
            </w:pPr>
            <w:r w:rsidRPr="00512BE3">
              <w:rPr>
                <w:color w:val="000000"/>
                <w:sz w:val="20"/>
                <w:szCs w:val="20"/>
                <w:lang w:val="sr-Latn-BA" w:eastAsia="en-US"/>
              </w:rPr>
              <w:t>1.992.606.694,16</w:t>
            </w:r>
          </w:p>
        </w:tc>
        <w:tc>
          <w:tcPr>
            <w:tcW w:w="1777" w:type="dxa"/>
            <w:tcBorders>
              <w:top w:val="single" w:sz="8" w:space="0" w:color="auto"/>
              <w:left w:val="single" w:sz="8" w:space="0" w:color="auto"/>
              <w:bottom w:val="single" w:sz="8" w:space="0" w:color="auto"/>
              <w:right w:val="nil"/>
            </w:tcBorders>
            <w:shd w:val="clear" w:color="000000" w:fill="92D050"/>
            <w:vAlign w:val="center"/>
          </w:tcPr>
          <w:p w14:paraId="1D8A9B50"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1.657.634.376,72</w:t>
            </w:r>
          </w:p>
        </w:tc>
        <w:tc>
          <w:tcPr>
            <w:tcW w:w="1496" w:type="dxa"/>
            <w:tcBorders>
              <w:top w:val="single" w:sz="8" w:space="0" w:color="auto"/>
              <w:left w:val="single" w:sz="8" w:space="0" w:color="auto"/>
              <w:bottom w:val="single" w:sz="8" w:space="0" w:color="auto"/>
              <w:right w:val="single" w:sz="8" w:space="0" w:color="auto"/>
            </w:tcBorders>
            <w:shd w:val="clear" w:color="000000" w:fill="FFFF00"/>
            <w:vAlign w:val="center"/>
          </w:tcPr>
          <w:p w14:paraId="69750BAD"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120,2%</w:t>
            </w:r>
          </w:p>
        </w:tc>
      </w:tr>
      <w:tr w:rsidR="008C260D" w:rsidRPr="00512BE3" w14:paraId="25B6959E" w14:textId="77777777" w:rsidTr="008C260D">
        <w:trPr>
          <w:trHeight w:val="231"/>
        </w:trPr>
        <w:tc>
          <w:tcPr>
            <w:tcW w:w="3828" w:type="dxa"/>
            <w:tcBorders>
              <w:top w:val="nil"/>
              <w:left w:val="single" w:sz="8" w:space="0" w:color="auto"/>
              <w:bottom w:val="single" w:sz="8" w:space="0" w:color="auto"/>
              <w:right w:val="single" w:sz="8" w:space="0" w:color="auto"/>
            </w:tcBorders>
            <w:shd w:val="clear" w:color="000000" w:fill="FFFFFF"/>
            <w:vAlign w:val="center"/>
            <w:hideMark/>
          </w:tcPr>
          <w:p w14:paraId="25DF1484" w14:textId="77777777" w:rsidR="008C260D" w:rsidRPr="00512BE3" w:rsidRDefault="008C260D" w:rsidP="008C260D">
            <w:pPr>
              <w:rPr>
                <w:color w:val="000000"/>
                <w:sz w:val="20"/>
                <w:szCs w:val="20"/>
                <w:lang w:val="sr-Latn-BA" w:eastAsia="sr-Latn-BA"/>
              </w:rPr>
            </w:pPr>
            <w:r w:rsidRPr="00512BE3">
              <w:rPr>
                <w:color w:val="000000"/>
                <w:sz w:val="20"/>
                <w:szCs w:val="20"/>
                <w:lang w:val="sr-Latn-BA" w:eastAsia="sr-Latn-BA"/>
              </w:rPr>
              <w:t>RC SARAJEVO</w:t>
            </w:r>
          </w:p>
        </w:tc>
        <w:tc>
          <w:tcPr>
            <w:tcW w:w="1784" w:type="dxa"/>
            <w:tcBorders>
              <w:top w:val="nil"/>
              <w:left w:val="single" w:sz="8" w:space="0" w:color="auto"/>
              <w:bottom w:val="single" w:sz="8" w:space="0" w:color="auto"/>
              <w:right w:val="nil"/>
            </w:tcBorders>
            <w:shd w:val="clear" w:color="000000" w:fill="92D050"/>
            <w:vAlign w:val="center"/>
          </w:tcPr>
          <w:p w14:paraId="7A22CA24"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2.102.377.779,97</w:t>
            </w:r>
          </w:p>
        </w:tc>
        <w:tc>
          <w:tcPr>
            <w:tcW w:w="1777" w:type="dxa"/>
            <w:tcBorders>
              <w:top w:val="nil"/>
              <w:left w:val="single" w:sz="8" w:space="0" w:color="auto"/>
              <w:bottom w:val="single" w:sz="8" w:space="0" w:color="auto"/>
              <w:right w:val="nil"/>
            </w:tcBorders>
            <w:shd w:val="clear" w:color="000000" w:fill="92D050"/>
            <w:vAlign w:val="center"/>
          </w:tcPr>
          <w:p w14:paraId="23B1BE24"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1.571.796.093,16</w:t>
            </w:r>
          </w:p>
        </w:tc>
        <w:tc>
          <w:tcPr>
            <w:tcW w:w="1496" w:type="dxa"/>
            <w:tcBorders>
              <w:top w:val="nil"/>
              <w:left w:val="single" w:sz="8" w:space="0" w:color="auto"/>
              <w:bottom w:val="single" w:sz="8" w:space="0" w:color="auto"/>
              <w:right w:val="single" w:sz="8" w:space="0" w:color="auto"/>
            </w:tcBorders>
            <w:shd w:val="clear" w:color="000000" w:fill="FFFF00"/>
            <w:vAlign w:val="center"/>
          </w:tcPr>
          <w:p w14:paraId="74D836AE"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133,8%</w:t>
            </w:r>
          </w:p>
        </w:tc>
      </w:tr>
      <w:tr w:rsidR="008C260D" w:rsidRPr="00512BE3" w14:paraId="05A3F5B9" w14:textId="77777777" w:rsidTr="008C260D">
        <w:trPr>
          <w:trHeight w:val="231"/>
        </w:trPr>
        <w:tc>
          <w:tcPr>
            <w:tcW w:w="3828" w:type="dxa"/>
            <w:tcBorders>
              <w:top w:val="nil"/>
              <w:left w:val="single" w:sz="8" w:space="0" w:color="auto"/>
              <w:bottom w:val="single" w:sz="8" w:space="0" w:color="auto"/>
              <w:right w:val="single" w:sz="8" w:space="0" w:color="auto"/>
            </w:tcBorders>
            <w:shd w:val="clear" w:color="000000" w:fill="FFFFFF"/>
            <w:vAlign w:val="center"/>
            <w:hideMark/>
          </w:tcPr>
          <w:p w14:paraId="68969128" w14:textId="77777777" w:rsidR="008C260D" w:rsidRPr="00512BE3" w:rsidRDefault="008C260D" w:rsidP="008C260D">
            <w:pPr>
              <w:rPr>
                <w:color w:val="000000"/>
                <w:sz w:val="20"/>
                <w:szCs w:val="20"/>
                <w:lang w:val="sr-Latn-BA" w:eastAsia="sr-Latn-BA"/>
              </w:rPr>
            </w:pPr>
            <w:r w:rsidRPr="00512BE3">
              <w:rPr>
                <w:color w:val="000000"/>
                <w:sz w:val="20"/>
                <w:szCs w:val="20"/>
                <w:lang w:val="sr-Latn-BA" w:eastAsia="sr-Latn-BA"/>
              </w:rPr>
              <w:t>RC MOSTAR</w:t>
            </w:r>
          </w:p>
        </w:tc>
        <w:tc>
          <w:tcPr>
            <w:tcW w:w="1784" w:type="dxa"/>
            <w:tcBorders>
              <w:top w:val="nil"/>
              <w:left w:val="single" w:sz="8" w:space="0" w:color="auto"/>
              <w:bottom w:val="single" w:sz="8" w:space="0" w:color="auto"/>
              <w:right w:val="nil"/>
            </w:tcBorders>
            <w:shd w:val="clear" w:color="000000" w:fill="92D050"/>
            <w:vAlign w:val="center"/>
          </w:tcPr>
          <w:p w14:paraId="734BA5A9"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1.621.047.379,37</w:t>
            </w:r>
          </w:p>
        </w:tc>
        <w:tc>
          <w:tcPr>
            <w:tcW w:w="1777" w:type="dxa"/>
            <w:tcBorders>
              <w:top w:val="nil"/>
              <w:left w:val="single" w:sz="8" w:space="0" w:color="auto"/>
              <w:bottom w:val="single" w:sz="8" w:space="0" w:color="auto"/>
              <w:right w:val="nil"/>
            </w:tcBorders>
            <w:shd w:val="clear" w:color="000000" w:fill="92D050"/>
            <w:vAlign w:val="center"/>
          </w:tcPr>
          <w:p w14:paraId="381F4772"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1.187.637.666,92</w:t>
            </w:r>
          </w:p>
        </w:tc>
        <w:tc>
          <w:tcPr>
            <w:tcW w:w="1496" w:type="dxa"/>
            <w:tcBorders>
              <w:top w:val="nil"/>
              <w:left w:val="single" w:sz="8" w:space="0" w:color="auto"/>
              <w:bottom w:val="single" w:sz="8" w:space="0" w:color="auto"/>
              <w:right w:val="single" w:sz="8" w:space="0" w:color="auto"/>
            </w:tcBorders>
            <w:shd w:val="clear" w:color="000000" w:fill="FFFF00"/>
            <w:vAlign w:val="center"/>
          </w:tcPr>
          <w:p w14:paraId="2304AE6B"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136,5%</w:t>
            </w:r>
          </w:p>
        </w:tc>
      </w:tr>
      <w:tr w:rsidR="008C260D" w:rsidRPr="00512BE3" w14:paraId="642143F8" w14:textId="77777777" w:rsidTr="008C260D">
        <w:trPr>
          <w:trHeight w:val="231"/>
        </w:trPr>
        <w:tc>
          <w:tcPr>
            <w:tcW w:w="3828" w:type="dxa"/>
            <w:tcBorders>
              <w:top w:val="nil"/>
              <w:left w:val="single" w:sz="8" w:space="0" w:color="auto"/>
              <w:bottom w:val="single" w:sz="8" w:space="0" w:color="auto"/>
              <w:right w:val="single" w:sz="8" w:space="0" w:color="auto"/>
            </w:tcBorders>
            <w:shd w:val="clear" w:color="000000" w:fill="FFFFFF"/>
            <w:vAlign w:val="center"/>
            <w:hideMark/>
          </w:tcPr>
          <w:p w14:paraId="7E166C2E" w14:textId="77777777" w:rsidR="008C260D" w:rsidRPr="00512BE3" w:rsidRDefault="008C260D" w:rsidP="008C260D">
            <w:pPr>
              <w:rPr>
                <w:color w:val="000000"/>
                <w:sz w:val="20"/>
                <w:szCs w:val="20"/>
                <w:lang w:val="sr-Latn-BA" w:eastAsia="sr-Latn-BA"/>
              </w:rPr>
            </w:pPr>
            <w:r w:rsidRPr="00512BE3">
              <w:rPr>
                <w:color w:val="000000"/>
                <w:sz w:val="20"/>
                <w:szCs w:val="20"/>
                <w:lang w:val="sr-Latn-BA" w:eastAsia="sr-Latn-BA"/>
              </w:rPr>
              <w:t>RC TUZLA</w:t>
            </w:r>
          </w:p>
        </w:tc>
        <w:tc>
          <w:tcPr>
            <w:tcW w:w="1784" w:type="dxa"/>
            <w:tcBorders>
              <w:top w:val="nil"/>
              <w:left w:val="single" w:sz="8" w:space="0" w:color="auto"/>
              <w:bottom w:val="single" w:sz="8" w:space="0" w:color="auto"/>
              <w:right w:val="nil"/>
            </w:tcBorders>
            <w:shd w:val="clear" w:color="000000" w:fill="92D050"/>
            <w:vAlign w:val="center"/>
          </w:tcPr>
          <w:p w14:paraId="3D4126D5"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1.556.297.230,80</w:t>
            </w:r>
          </w:p>
        </w:tc>
        <w:tc>
          <w:tcPr>
            <w:tcW w:w="1777" w:type="dxa"/>
            <w:tcBorders>
              <w:top w:val="nil"/>
              <w:left w:val="single" w:sz="8" w:space="0" w:color="auto"/>
              <w:bottom w:val="single" w:sz="8" w:space="0" w:color="auto"/>
              <w:right w:val="nil"/>
            </w:tcBorders>
            <w:shd w:val="clear" w:color="000000" w:fill="92D050"/>
            <w:vAlign w:val="center"/>
          </w:tcPr>
          <w:p w14:paraId="077B989E"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1.409.073.091,35</w:t>
            </w:r>
          </w:p>
        </w:tc>
        <w:tc>
          <w:tcPr>
            <w:tcW w:w="1496" w:type="dxa"/>
            <w:tcBorders>
              <w:top w:val="nil"/>
              <w:left w:val="single" w:sz="8" w:space="0" w:color="auto"/>
              <w:bottom w:val="single" w:sz="8" w:space="0" w:color="auto"/>
              <w:right w:val="single" w:sz="8" w:space="0" w:color="auto"/>
            </w:tcBorders>
            <w:shd w:val="clear" w:color="000000" w:fill="FFFF00"/>
            <w:vAlign w:val="center"/>
          </w:tcPr>
          <w:p w14:paraId="2B9A93B5"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110,4%</w:t>
            </w:r>
          </w:p>
        </w:tc>
      </w:tr>
      <w:tr w:rsidR="008C260D" w:rsidRPr="00512BE3" w14:paraId="3830955B" w14:textId="77777777" w:rsidTr="008C260D">
        <w:trPr>
          <w:trHeight w:val="231"/>
        </w:trPr>
        <w:tc>
          <w:tcPr>
            <w:tcW w:w="3828" w:type="dxa"/>
            <w:tcBorders>
              <w:top w:val="nil"/>
              <w:left w:val="single" w:sz="8" w:space="0" w:color="auto"/>
              <w:bottom w:val="single" w:sz="8" w:space="0" w:color="auto"/>
              <w:right w:val="single" w:sz="8" w:space="0" w:color="auto"/>
            </w:tcBorders>
            <w:shd w:val="clear" w:color="000000" w:fill="FFFFFF"/>
            <w:vAlign w:val="center"/>
            <w:hideMark/>
          </w:tcPr>
          <w:p w14:paraId="6B396A4A" w14:textId="77777777" w:rsidR="008C260D" w:rsidRPr="00512BE3" w:rsidRDefault="008C260D" w:rsidP="008C260D">
            <w:pPr>
              <w:rPr>
                <w:color w:val="000000"/>
                <w:sz w:val="20"/>
                <w:szCs w:val="20"/>
                <w:lang w:val="sr-Latn-BA" w:eastAsia="sr-Latn-BA"/>
              </w:rPr>
            </w:pPr>
            <w:r w:rsidRPr="00512BE3">
              <w:rPr>
                <w:color w:val="000000"/>
                <w:sz w:val="20"/>
                <w:szCs w:val="20"/>
                <w:lang w:val="sr-Latn-BA" w:eastAsia="sr-Latn-BA"/>
              </w:rPr>
              <w:t xml:space="preserve">U K U P N O </w:t>
            </w:r>
          </w:p>
        </w:tc>
        <w:tc>
          <w:tcPr>
            <w:tcW w:w="1784" w:type="dxa"/>
            <w:tcBorders>
              <w:top w:val="nil"/>
              <w:left w:val="single" w:sz="8" w:space="0" w:color="auto"/>
              <w:bottom w:val="single" w:sz="8" w:space="0" w:color="auto"/>
              <w:right w:val="nil"/>
            </w:tcBorders>
            <w:shd w:val="clear" w:color="000000" w:fill="92D050"/>
            <w:vAlign w:val="center"/>
          </w:tcPr>
          <w:p w14:paraId="14AF99FD" w14:textId="77777777" w:rsidR="008C260D" w:rsidRPr="00512BE3" w:rsidRDefault="008C260D" w:rsidP="008C260D">
            <w:pPr>
              <w:jc w:val="right"/>
              <w:rPr>
                <w:b/>
                <w:bCs/>
                <w:color w:val="000000"/>
                <w:sz w:val="20"/>
                <w:szCs w:val="20"/>
                <w:lang w:val="sr-Latn-BA" w:eastAsia="en-US"/>
              </w:rPr>
            </w:pPr>
            <w:r w:rsidRPr="00512BE3">
              <w:rPr>
                <w:b/>
                <w:bCs/>
                <w:color w:val="000000"/>
                <w:sz w:val="20"/>
                <w:szCs w:val="20"/>
                <w:lang w:val="sr-Latn-BA" w:eastAsia="en-US"/>
              </w:rPr>
              <w:t>7.272.329.084,30</w:t>
            </w:r>
          </w:p>
        </w:tc>
        <w:tc>
          <w:tcPr>
            <w:tcW w:w="1777" w:type="dxa"/>
            <w:tcBorders>
              <w:top w:val="nil"/>
              <w:left w:val="single" w:sz="8" w:space="0" w:color="auto"/>
              <w:bottom w:val="single" w:sz="8" w:space="0" w:color="auto"/>
              <w:right w:val="nil"/>
            </w:tcBorders>
            <w:shd w:val="clear" w:color="000000" w:fill="92D050"/>
            <w:vAlign w:val="center"/>
          </w:tcPr>
          <w:p w14:paraId="2FB33130" w14:textId="77777777" w:rsidR="008C260D" w:rsidRPr="00512BE3" w:rsidRDefault="008C260D" w:rsidP="008C260D">
            <w:pPr>
              <w:jc w:val="right"/>
              <w:rPr>
                <w:b/>
                <w:bCs/>
                <w:color w:val="000000"/>
                <w:sz w:val="20"/>
                <w:szCs w:val="20"/>
                <w:lang w:val="sr-Latn-BA" w:eastAsia="en-US"/>
              </w:rPr>
            </w:pPr>
            <w:r w:rsidRPr="00512BE3">
              <w:rPr>
                <w:b/>
                <w:bCs/>
                <w:color w:val="000000"/>
                <w:sz w:val="20"/>
                <w:szCs w:val="20"/>
                <w:lang w:val="sr-Latn-BA" w:eastAsia="en-US"/>
              </w:rPr>
              <w:t>5.826.141.228,15</w:t>
            </w:r>
          </w:p>
        </w:tc>
        <w:tc>
          <w:tcPr>
            <w:tcW w:w="1496" w:type="dxa"/>
            <w:tcBorders>
              <w:top w:val="nil"/>
              <w:left w:val="single" w:sz="8" w:space="0" w:color="auto"/>
              <w:bottom w:val="single" w:sz="8" w:space="0" w:color="auto"/>
              <w:right w:val="single" w:sz="8" w:space="0" w:color="auto"/>
            </w:tcBorders>
            <w:shd w:val="clear" w:color="000000" w:fill="FFFF00"/>
            <w:vAlign w:val="center"/>
          </w:tcPr>
          <w:p w14:paraId="0872D3B6" w14:textId="77777777" w:rsidR="008C260D" w:rsidRPr="00512BE3" w:rsidRDefault="008C260D" w:rsidP="008C260D">
            <w:pPr>
              <w:jc w:val="right"/>
              <w:rPr>
                <w:color w:val="000000"/>
                <w:sz w:val="20"/>
                <w:szCs w:val="20"/>
                <w:lang w:val="sr-Latn-BA" w:eastAsia="en-US"/>
              </w:rPr>
            </w:pPr>
            <w:r w:rsidRPr="00512BE3">
              <w:rPr>
                <w:color w:val="000000"/>
                <w:sz w:val="20"/>
                <w:szCs w:val="20"/>
                <w:lang w:val="sr-Latn-BA" w:eastAsia="en-US"/>
              </w:rPr>
              <w:t>124,8%</w:t>
            </w:r>
          </w:p>
        </w:tc>
      </w:tr>
    </w:tbl>
    <w:p w14:paraId="7DC4152D" w14:textId="77777777" w:rsidR="00801E19" w:rsidRDefault="00801E19" w:rsidP="00801E19">
      <w:pPr>
        <w:pStyle w:val="Normal1"/>
        <w:spacing w:before="0" w:beforeAutospacing="0" w:after="0" w:afterAutospacing="0"/>
        <w:jc w:val="both"/>
        <w:rPr>
          <w:rStyle w:val="normalchar"/>
          <w:sz w:val="22"/>
          <w:szCs w:val="22"/>
        </w:rPr>
      </w:pPr>
    </w:p>
    <w:p w14:paraId="5A6D0C6E" w14:textId="2B6D4AA5" w:rsidR="00423F6E" w:rsidRPr="00801E19" w:rsidRDefault="002D5E14" w:rsidP="00801E19">
      <w:pPr>
        <w:pStyle w:val="Normal1"/>
        <w:spacing w:before="0" w:beforeAutospacing="0" w:after="0" w:afterAutospacing="0"/>
        <w:jc w:val="both"/>
        <w:rPr>
          <w:rStyle w:val="normalchar"/>
          <w:sz w:val="27"/>
          <w:szCs w:val="27"/>
        </w:rPr>
      </w:pPr>
      <w:r w:rsidRPr="00512BE3">
        <w:rPr>
          <w:rStyle w:val="normalchar"/>
          <w:sz w:val="22"/>
          <w:szCs w:val="22"/>
        </w:rPr>
        <w:t xml:space="preserve">U izvještajnom periodu u oblasti carinske tarife izdato je </w:t>
      </w:r>
      <w:r w:rsidR="0068716E" w:rsidRPr="00512BE3">
        <w:rPr>
          <w:rStyle w:val="normalchar"/>
          <w:sz w:val="22"/>
          <w:szCs w:val="22"/>
        </w:rPr>
        <w:t>57</w:t>
      </w:r>
      <w:r w:rsidRPr="00512BE3">
        <w:rPr>
          <w:rStyle w:val="normalchar"/>
          <w:sz w:val="22"/>
          <w:szCs w:val="22"/>
        </w:rPr>
        <w:t xml:space="preserve"> obavezujućih informacija o tarifnom svrstavanju robe i </w:t>
      </w:r>
      <w:r w:rsidR="00995034" w:rsidRPr="00512BE3">
        <w:rPr>
          <w:rStyle w:val="normalchar"/>
          <w:sz w:val="22"/>
          <w:szCs w:val="22"/>
        </w:rPr>
        <w:t>d</w:t>
      </w:r>
      <w:r w:rsidR="00105FC8" w:rsidRPr="00512BE3">
        <w:rPr>
          <w:rStyle w:val="normalchar"/>
          <w:sz w:val="22"/>
          <w:szCs w:val="22"/>
        </w:rPr>
        <w:t>onesena</w:t>
      </w:r>
      <w:r w:rsidR="00995034" w:rsidRPr="00512BE3">
        <w:rPr>
          <w:rStyle w:val="normalchar"/>
          <w:sz w:val="22"/>
          <w:szCs w:val="22"/>
        </w:rPr>
        <w:t xml:space="preserve"> su četiri zaključka o odbacivanju/obustavljanju zahtjeva za OIT što predstavlja povećanje za </w:t>
      </w:r>
      <w:r w:rsidR="0068716E" w:rsidRPr="00512BE3">
        <w:rPr>
          <w:rStyle w:val="normalchar"/>
          <w:sz w:val="22"/>
          <w:szCs w:val="22"/>
        </w:rPr>
        <w:t>8,8</w:t>
      </w:r>
      <w:r w:rsidR="00995034" w:rsidRPr="00512BE3">
        <w:rPr>
          <w:rStyle w:val="normalchar"/>
          <w:sz w:val="22"/>
          <w:szCs w:val="22"/>
        </w:rPr>
        <w:t>% u odnosu na isti period 202</w:t>
      </w:r>
      <w:r w:rsidR="0068716E" w:rsidRPr="00512BE3">
        <w:rPr>
          <w:rStyle w:val="normalchar"/>
          <w:sz w:val="22"/>
          <w:szCs w:val="22"/>
        </w:rPr>
        <w:t>1</w:t>
      </w:r>
      <w:r w:rsidR="00995034" w:rsidRPr="00512BE3">
        <w:rPr>
          <w:rStyle w:val="normalchar"/>
          <w:sz w:val="22"/>
          <w:szCs w:val="22"/>
        </w:rPr>
        <w:t xml:space="preserve">.godine kada je riješeno </w:t>
      </w:r>
      <w:r w:rsidR="0068716E" w:rsidRPr="00512BE3">
        <w:rPr>
          <w:rStyle w:val="normalchar"/>
          <w:sz w:val="22"/>
          <w:szCs w:val="22"/>
        </w:rPr>
        <w:t>52</w:t>
      </w:r>
      <w:r w:rsidR="00995034" w:rsidRPr="00512BE3">
        <w:rPr>
          <w:rStyle w:val="normalchar"/>
          <w:sz w:val="22"/>
          <w:szCs w:val="22"/>
        </w:rPr>
        <w:t xml:space="preserve"> zahtjeva za OIT-a. Na osnovu zahtjeva Odjeljenja za pravne poslove za pružanjem stručne pomoći u vezi tarifnog svrstavanja, za potrebe rješavanja predmeta u drugostepenom upravnom postupku, izdato je </w:t>
      </w:r>
      <w:r w:rsidR="0068716E" w:rsidRPr="00512BE3">
        <w:rPr>
          <w:rStyle w:val="normalchar"/>
          <w:sz w:val="22"/>
          <w:szCs w:val="22"/>
        </w:rPr>
        <w:t>3</w:t>
      </w:r>
      <w:r w:rsidR="00995034" w:rsidRPr="00512BE3">
        <w:rPr>
          <w:rStyle w:val="normalchar"/>
          <w:sz w:val="22"/>
          <w:szCs w:val="22"/>
        </w:rPr>
        <w:t>5 mišljenja</w:t>
      </w:r>
      <w:r w:rsidR="0068716E" w:rsidRPr="00512BE3">
        <w:rPr>
          <w:rStyle w:val="normalchar"/>
          <w:sz w:val="22"/>
          <w:szCs w:val="22"/>
        </w:rPr>
        <w:t>,</w:t>
      </w:r>
      <w:r w:rsidR="00995034" w:rsidRPr="00512BE3">
        <w:rPr>
          <w:rStyle w:val="normalchar"/>
          <w:sz w:val="22"/>
          <w:szCs w:val="22"/>
        </w:rPr>
        <w:t xml:space="preserve"> </w:t>
      </w:r>
      <w:r w:rsidR="0068716E" w:rsidRPr="00512BE3">
        <w:rPr>
          <w:rStyle w:val="normalchar"/>
          <w:sz w:val="22"/>
          <w:szCs w:val="22"/>
        </w:rPr>
        <w:t>dok je u 2021.godini dato 255 mišljenja</w:t>
      </w:r>
      <w:r w:rsidR="00995034" w:rsidRPr="00512BE3">
        <w:rPr>
          <w:rStyle w:val="normalchar"/>
          <w:sz w:val="22"/>
          <w:szCs w:val="22"/>
        </w:rPr>
        <w:t>.</w:t>
      </w:r>
      <w:r w:rsidRPr="00512BE3">
        <w:rPr>
          <w:rStyle w:val="normalchar"/>
          <w:sz w:val="22"/>
          <w:szCs w:val="22"/>
        </w:rPr>
        <w:t xml:space="preserve"> </w:t>
      </w:r>
      <w:r w:rsidR="0068716E" w:rsidRPr="00512BE3">
        <w:rPr>
          <w:rStyle w:val="normalchar"/>
          <w:sz w:val="22"/>
          <w:szCs w:val="22"/>
        </w:rPr>
        <w:t>Vezano za sistem upravljanja kvotama u BiH, po odobrenjima o povlačenju carinske tarifne kvote, službenici ovog Odsjeka su unijeli 1</w:t>
      </w:r>
      <w:r w:rsidR="005678A5">
        <w:rPr>
          <w:rStyle w:val="normalchar"/>
          <w:sz w:val="22"/>
          <w:szCs w:val="22"/>
        </w:rPr>
        <w:t>.</w:t>
      </w:r>
      <w:r w:rsidR="0068716E" w:rsidRPr="00512BE3">
        <w:rPr>
          <w:rStyle w:val="normalchar"/>
          <w:sz w:val="22"/>
          <w:szCs w:val="22"/>
        </w:rPr>
        <w:t>608 odobrenja u posmatranom periodu, dok je 2021.godin</w:t>
      </w:r>
      <w:r w:rsidR="00EB54F0" w:rsidRPr="00512BE3">
        <w:rPr>
          <w:rStyle w:val="normalchar"/>
          <w:sz w:val="22"/>
          <w:szCs w:val="22"/>
        </w:rPr>
        <w:t>e taj broj iznosio 1</w:t>
      </w:r>
      <w:r w:rsidR="005678A5">
        <w:rPr>
          <w:rStyle w:val="normalchar"/>
          <w:sz w:val="22"/>
          <w:szCs w:val="22"/>
        </w:rPr>
        <w:t>.</w:t>
      </w:r>
      <w:r w:rsidR="00EB54F0" w:rsidRPr="00512BE3">
        <w:rPr>
          <w:rStyle w:val="normalchar"/>
          <w:sz w:val="22"/>
          <w:szCs w:val="22"/>
        </w:rPr>
        <w:t>460. Takođe</w:t>
      </w:r>
      <w:r w:rsidR="0068716E" w:rsidRPr="00512BE3">
        <w:rPr>
          <w:rStyle w:val="normalchar"/>
          <w:sz w:val="22"/>
          <w:szCs w:val="22"/>
        </w:rPr>
        <w:t>, vršene su potrebne izmjene i dopune u skladu s uputama MVTEO, te kvartalno podnošenje izvještaja MVTEO o iskorišenosti tarifnih kvota.</w:t>
      </w:r>
      <w:r w:rsidR="00801E19">
        <w:rPr>
          <w:sz w:val="27"/>
          <w:szCs w:val="27"/>
        </w:rPr>
        <w:t xml:space="preserve"> </w:t>
      </w:r>
      <w:r w:rsidR="00801E19" w:rsidRPr="00801E19">
        <w:rPr>
          <w:sz w:val="22"/>
          <w:szCs w:val="22"/>
        </w:rPr>
        <w:t>Sačinjena su tri</w:t>
      </w:r>
      <w:r w:rsidR="00801E19">
        <w:rPr>
          <w:sz w:val="27"/>
          <w:szCs w:val="27"/>
        </w:rPr>
        <w:t xml:space="preserve"> </w:t>
      </w:r>
      <w:r w:rsidR="00801E19" w:rsidRPr="00512BE3">
        <w:rPr>
          <w:rStyle w:val="normalchar"/>
          <w:sz w:val="22"/>
          <w:szCs w:val="22"/>
        </w:rPr>
        <w:t xml:space="preserve">mišljenja </w:t>
      </w:r>
      <w:r w:rsidR="00423F6E" w:rsidRPr="00512BE3">
        <w:rPr>
          <w:rStyle w:val="normalchar"/>
          <w:sz w:val="22"/>
          <w:szCs w:val="22"/>
        </w:rPr>
        <w:t xml:space="preserve">u vezi utvrđivanja carinske vrijednosti </w:t>
      </w:r>
      <w:r w:rsidR="00801E19">
        <w:rPr>
          <w:rStyle w:val="normalchar"/>
          <w:sz w:val="22"/>
          <w:szCs w:val="22"/>
        </w:rPr>
        <w:t xml:space="preserve">za potrebe </w:t>
      </w:r>
      <w:r w:rsidR="00423F6E" w:rsidRPr="00512BE3">
        <w:rPr>
          <w:rStyle w:val="normalchar"/>
          <w:sz w:val="22"/>
          <w:szCs w:val="22"/>
        </w:rPr>
        <w:t>provođenja drugostepenog upravnog postupka</w:t>
      </w:r>
      <w:r w:rsidR="00801E19">
        <w:rPr>
          <w:rStyle w:val="normalchar"/>
          <w:sz w:val="22"/>
          <w:szCs w:val="22"/>
        </w:rPr>
        <w:t>,</w:t>
      </w:r>
      <w:r w:rsidR="00423F6E" w:rsidRPr="00512BE3">
        <w:rPr>
          <w:rStyle w:val="normalchar"/>
          <w:sz w:val="22"/>
          <w:szCs w:val="22"/>
        </w:rPr>
        <w:t xml:space="preserve"> </w:t>
      </w:r>
      <w:r w:rsidR="00801E19">
        <w:rPr>
          <w:rStyle w:val="normalchar"/>
          <w:sz w:val="22"/>
          <w:szCs w:val="22"/>
        </w:rPr>
        <w:t xml:space="preserve">te su </w:t>
      </w:r>
      <w:r w:rsidR="00423F6E" w:rsidRPr="00512BE3">
        <w:rPr>
          <w:rStyle w:val="normalchar"/>
          <w:sz w:val="22"/>
          <w:szCs w:val="22"/>
        </w:rPr>
        <w:t xml:space="preserve">svakodnevno davane pismene i usmene upute o postupanjima </w:t>
      </w:r>
      <w:r w:rsidR="00801E19" w:rsidRPr="00512BE3">
        <w:rPr>
          <w:rStyle w:val="normalchar"/>
          <w:sz w:val="22"/>
          <w:szCs w:val="22"/>
        </w:rPr>
        <w:t>organizacioni</w:t>
      </w:r>
      <w:r w:rsidR="00801E19">
        <w:rPr>
          <w:rStyle w:val="normalchar"/>
          <w:sz w:val="22"/>
          <w:szCs w:val="22"/>
        </w:rPr>
        <w:t>m</w:t>
      </w:r>
      <w:r w:rsidR="00801E19" w:rsidRPr="00512BE3">
        <w:rPr>
          <w:rStyle w:val="normalchar"/>
          <w:sz w:val="22"/>
          <w:szCs w:val="22"/>
        </w:rPr>
        <w:t xml:space="preserve"> jedinicama unutar UIO</w:t>
      </w:r>
      <w:r w:rsidR="00801E19">
        <w:rPr>
          <w:rStyle w:val="normalchar"/>
          <w:sz w:val="22"/>
          <w:szCs w:val="22"/>
        </w:rPr>
        <w:t xml:space="preserve"> </w:t>
      </w:r>
      <w:r w:rsidR="00423F6E" w:rsidRPr="00512BE3">
        <w:rPr>
          <w:rStyle w:val="normalchar"/>
          <w:sz w:val="22"/>
          <w:szCs w:val="22"/>
        </w:rPr>
        <w:t>u pogledu upućivanja faktura u zemlju provjere, kao i utvrđivanja carinske vrijednosti</w:t>
      </w:r>
      <w:r w:rsidR="00801E19">
        <w:rPr>
          <w:rStyle w:val="normalchar"/>
          <w:sz w:val="22"/>
          <w:szCs w:val="22"/>
        </w:rPr>
        <w:t>.</w:t>
      </w:r>
      <w:r w:rsidR="00423F6E" w:rsidRPr="00512BE3">
        <w:rPr>
          <w:rStyle w:val="normalchar"/>
          <w:sz w:val="22"/>
          <w:szCs w:val="22"/>
        </w:rPr>
        <w:t xml:space="preserve"> </w:t>
      </w:r>
    </w:p>
    <w:p w14:paraId="46A54A90" w14:textId="17C07065" w:rsidR="00214402" w:rsidRPr="00512BE3" w:rsidRDefault="00214402" w:rsidP="00801E19">
      <w:pPr>
        <w:pStyle w:val="Normal1"/>
        <w:spacing w:before="0" w:beforeAutospacing="0" w:after="0" w:afterAutospacing="0"/>
        <w:jc w:val="both"/>
        <w:rPr>
          <w:rStyle w:val="normalchar"/>
          <w:sz w:val="22"/>
          <w:szCs w:val="22"/>
        </w:rPr>
      </w:pPr>
      <w:r w:rsidRPr="00512BE3">
        <w:rPr>
          <w:rStyle w:val="normalchar"/>
          <w:sz w:val="22"/>
          <w:szCs w:val="22"/>
        </w:rPr>
        <w:t xml:space="preserve">U oblasti porijekla robe izdato je </w:t>
      </w:r>
      <w:r w:rsidR="00423F6E" w:rsidRPr="00512BE3">
        <w:rPr>
          <w:rStyle w:val="normalchar"/>
          <w:sz w:val="22"/>
          <w:szCs w:val="22"/>
        </w:rPr>
        <w:t>35</w:t>
      </w:r>
      <w:r w:rsidRPr="00512BE3">
        <w:rPr>
          <w:rStyle w:val="normalchar"/>
          <w:sz w:val="22"/>
          <w:szCs w:val="22"/>
        </w:rPr>
        <w:t xml:space="preserve"> odobrenja za sticanje statusa ovlaštenog izvoznika iz Bosne i Hercegovine, a po zahtjevu ovlaštenih izvoznika za izmjene i dopune odobrenja riješeno je </w:t>
      </w:r>
      <w:r w:rsidR="00423F6E" w:rsidRPr="00512BE3">
        <w:rPr>
          <w:rStyle w:val="normalchar"/>
          <w:sz w:val="22"/>
          <w:szCs w:val="22"/>
        </w:rPr>
        <w:t>32</w:t>
      </w:r>
      <w:r w:rsidRPr="00512BE3">
        <w:rPr>
          <w:rStyle w:val="normalchar"/>
          <w:sz w:val="22"/>
          <w:szCs w:val="22"/>
        </w:rPr>
        <w:t xml:space="preserve"> zahtjeva. </w:t>
      </w:r>
      <w:r w:rsidR="00423F6E" w:rsidRPr="00512BE3">
        <w:rPr>
          <w:rStyle w:val="normalchar"/>
          <w:sz w:val="22"/>
          <w:szCs w:val="22"/>
        </w:rPr>
        <w:t xml:space="preserve">Zaprimljena su </w:t>
      </w:r>
      <w:r w:rsidR="00801E19">
        <w:rPr>
          <w:rStyle w:val="normalchar"/>
          <w:sz w:val="22"/>
          <w:szCs w:val="22"/>
        </w:rPr>
        <w:t>tri</w:t>
      </w:r>
      <w:r w:rsidR="00423F6E" w:rsidRPr="00512BE3">
        <w:rPr>
          <w:rStyle w:val="normalchar"/>
          <w:sz w:val="22"/>
          <w:szCs w:val="22"/>
        </w:rPr>
        <w:t xml:space="preserve"> zahtjeva za izdavanje obavezujuće informacije o preferencijalnom porijeklu robe</w:t>
      </w:r>
      <w:r w:rsidR="005F29A8" w:rsidRPr="00512BE3">
        <w:rPr>
          <w:rStyle w:val="normalchar"/>
          <w:sz w:val="22"/>
          <w:szCs w:val="22"/>
        </w:rPr>
        <w:t>.</w:t>
      </w:r>
      <w:r w:rsidRPr="00512BE3">
        <w:rPr>
          <w:rStyle w:val="normalchar"/>
          <w:sz w:val="22"/>
          <w:szCs w:val="22"/>
        </w:rPr>
        <w:t xml:space="preserve"> </w:t>
      </w:r>
      <w:r w:rsidR="00E05E86" w:rsidRPr="00512BE3">
        <w:rPr>
          <w:rStyle w:val="normalchar"/>
          <w:sz w:val="22"/>
          <w:szCs w:val="22"/>
        </w:rPr>
        <w:t>U svrhu provjera vjerodostojnosti faktura i naknadnih provjera dokaza o porijeklu zaprimljeno je za provjeru ukupno 8462 fakture i dokaza o porijeklu od kojih je 1707 još uvijek u radu, dok je u istom periodu zaprimljeno 1977 rezultata naknadne provjere ( podaci se odnose i na carinsku vrijednost i na porijeklo robe).</w:t>
      </w:r>
    </w:p>
    <w:p w14:paraId="18751714" w14:textId="50D50724" w:rsidR="00115FB1" w:rsidRPr="00512BE3" w:rsidRDefault="00115FB1" w:rsidP="00801E19">
      <w:pPr>
        <w:pStyle w:val="Normal1"/>
        <w:spacing w:before="0" w:beforeAutospacing="0" w:after="0" w:afterAutospacing="0"/>
        <w:jc w:val="both"/>
        <w:rPr>
          <w:sz w:val="22"/>
          <w:szCs w:val="22"/>
          <w:lang w:val="sr-Latn-BA"/>
        </w:rPr>
      </w:pPr>
      <w:r w:rsidRPr="00512BE3">
        <w:rPr>
          <w:sz w:val="22"/>
          <w:szCs w:val="22"/>
          <w:lang w:val="sr-Latn-BA"/>
        </w:rPr>
        <w:t xml:space="preserve">U izvještajnom periodu završene su pripremne aktivnostima u vezi sa implementacijom NCTS-a u carinskom području BiH (na nacionalnom nivou), a koja je započela 01.08.2022. godine. Urađene su </w:t>
      </w:r>
      <w:r w:rsidRPr="00512BE3">
        <w:rPr>
          <w:sz w:val="22"/>
          <w:szCs w:val="22"/>
          <w:lang w:val="sr-Latn-BA"/>
        </w:rPr>
        <w:lastRenderedPageBreak/>
        <w:t xml:space="preserve">izmjene i dopune četiri uputstva iz oblasti postupka provoza i to: Uputstvo o izmjenama i dopuni Uputstva o ovlašćenom primaocu, Uputstvo o izmjenama i dopuni Uputstva o ovlašćenom pošiljaocu, Uputstvo o izmjenama i dopunama Uputstva o upotrebi osiguranja u postupku provoza i Uputstvo o izmjenama i dopuni Uputstva o sprovođenju provoznog postupka upotrebom rezervnog postupka. Sva su objavljena u “Službenom glasniku BiH”, broj 6/22. U periodu od početka primjene elektronskog postupka provoza nije bilo prekida u radu sistema, a do 31.12.2022. godine u sistemu je registrovana 87.671 elektronska provozna deklaracija sa različitim statusima (podnesena, prihvaćena, puštena u provoz, pod kontrolom, osiguranje u procesu registracije, osiguranje registrovano, poništena, pristigla, pošiljka razdužena, preporučena potraga, preporučena naplata, nije puštena u provoz, odbijena). U toku 2022. godine kontinuirano se vršilo ažuriranje podataka u modulu upravljanja garancijama u postupku provoza u okviru NCTS aplikacije (GMS). Na dan 31.12.2022. godine u GMS-u je bilo aktivno 235 sveobuhvatnih garancija za postupak provoza od čega 45 bez roka važenja shodno Prilogu 33. Odluke o provođenju ZCP BiH ( </w:t>
      </w:r>
      <w:r w:rsidR="00801E19">
        <w:rPr>
          <w:sz w:val="22"/>
          <w:szCs w:val="22"/>
          <w:lang w:val="sr-Latn-BA"/>
        </w:rPr>
        <w:t>„</w:t>
      </w:r>
      <w:r w:rsidRPr="00512BE3">
        <w:rPr>
          <w:sz w:val="22"/>
          <w:szCs w:val="22"/>
          <w:lang w:val="sr-Latn-BA"/>
        </w:rPr>
        <w:t xml:space="preserve">Sl. </w:t>
      </w:r>
      <w:r w:rsidR="00801E19">
        <w:rPr>
          <w:sz w:val="22"/>
          <w:szCs w:val="22"/>
          <w:lang w:val="sr-Latn-BA"/>
        </w:rPr>
        <w:t>g</w:t>
      </w:r>
      <w:r w:rsidRPr="00512BE3">
        <w:rPr>
          <w:sz w:val="22"/>
          <w:szCs w:val="22"/>
          <w:lang w:val="sr-Latn-BA"/>
        </w:rPr>
        <w:t>lasnik BiH</w:t>
      </w:r>
      <w:r w:rsidR="00801E19">
        <w:rPr>
          <w:sz w:val="22"/>
          <w:szCs w:val="22"/>
          <w:lang w:val="sr-Latn-BA"/>
        </w:rPr>
        <w:t>“</w:t>
      </w:r>
      <w:r w:rsidRPr="00512BE3">
        <w:rPr>
          <w:sz w:val="22"/>
          <w:szCs w:val="22"/>
          <w:lang w:val="sr-Latn-BA"/>
        </w:rPr>
        <w:t xml:space="preserve"> br. 13/19). U modulu ABS, modul za upravljanje odobrenjima za pojednostavljenja u postupku provoza (ovlašćeni primalac i ovlašćeni pošiljalac) na dan 31.12.2022. godine aktivna su 49 privredna subjekta sa statusom ovlaštenih primaoca od čega 5 privrednih subjekata ima status ovlaštenog primaoca i pošiljaoca. U 2022. godini broj unijetih Odobrenja za status ovlaštenih primaoca je 17, a broj unijetih Odobrenja za status ovlaštenih pošiljaoca je 2. </w:t>
      </w:r>
    </w:p>
    <w:p w14:paraId="25B04F2E" w14:textId="77777777" w:rsidR="00C0420F" w:rsidRDefault="00115FB1" w:rsidP="00801E19">
      <w:pPr>
        <w:pStyle w:val="Normal1"/>
        <w:spacing w:before="0" w:beforeAutospacing="0" w:after="0" w:afterAutospacing="0"/>
        <w:jc w:val="both"/>
        <w:rPr>
          <w:sz w:val="22"/>
          <w:szCs w:val="22"/>
          <w:lang w:val="sr-Latn-BA"/>
        </w:rPr>
      </w:pPr>
      <w:r w:rsidRPr="00512BE3">
        <w:rPr>
          <w:sz w:val="22"/>
          <w:szCs w:val="22"/>
          <w:lang w:val="sr-Latn-BA"/>
        </w:rPr>
        <w:t>Carinska laboratorija je u izvještajnom periodu zaprimila 347 uzorka za prvu analizu i 10 uzoraka za kontrolnu analizu, od čega su urađeno je 314 analiza, dok su eksterne laboratorije angažovane za izradu 13 analiza.</w:t>
      </w:r>
    </w:p>
    <w:p w14:paraId="463E392C" w14:textId="51C2E3EC" w:rsidR="005626C5" w:rsidRPr="005626C5" w:rsidRDefault="002D5E14" w:rsidP="00801E19">
      <w:pPr>
        <w:pStyle w:val="Normal1"/>
        <w:spacing w:before="0" w:beforeAutospacing="0" w:after="0" w:afterAutospacing="0"/>
        <w:jc w:val="both"/>
        <w:rPr>
          <w:sz w:val="22"/>
          <w:szCs w:val="22"/>
        </w:rPr>
      </w:pPr>
      <w:r w:rsidRPr="005626C5">
        <w:rPr>
          <w:rStyle w:val="normalchar"/>
          <w:sz w:val="22"/>
          <w:szCs w:val="22"/>
        </w:rPr>
        <w:t xml:space="preserve">U </w:t>
      </w:r>
      <w:r w:rsidR="00C0420F" w:rsidRPr="005626C5">
        <w:rPr>
          <w:rStyle w:val="normalchar"/>
          <w:sz w:val="22"/>
          <w:szCs w:val="22"/>
        </w:rPr>
        <w:t xml:space="preserve">oblasti provođenja carinskog postupka provođen je je postupak izdavanja </w:t>
      </w:r>
      <w:r w:rsidRPr="005626C5">
        <w:rPr>
          <w:rStyle w:val="normalchar"/>
          <w:sz w:val="22"/>
          <w:szCs w:val="22"/>
        </w:rPr>
        <w:t>odobrenja za postupak carinskog skladištenja, pojednostavljeni postupak po fakturi, lokalno izvozno carinjenje, lokalno uvozno carinjenje i s</w:t>
      </w:r>
      <w:r w:rsidR="00990A08" w:rsidRPr="005626C5">
        <w:rPr>
          <w:rStyle w:val="normalchar"/>
          <w:sz w:val="22"/>
          <w:szCs w:val="22"/>
        </w:rPr>
        <w:t>tatus ovlašćenog primaoca u 202</w:t>
      </w:r>
      <w:r w:rsidR="00E05E86" w:rsidRPr="005626C5">
        <w:rPr>
          <w:rStyle w:val="normalchar"/>
          <w:sz w:val="22"/>
          <w:szCs w:val="22"/>
        </w:rPr>
        <w:t>2</w:t>
      </w:r>
      <w:r w:rsidR="00990A08" w:rsidRPr="005626C5">
        <w:rPr>
          <w:rStyle w:val="normalchar"/>
          <w:sz w:val="22"/>
          <w:szCs w:val="22"/>
        </w:rPr>
        <w:t xml:space="preserve">. godini zaprimljeno je </w:t>
      </w:r>
      <w:r w:rsidR="00E05E86" w:rsidRPr="005626C5">
        <w:rPr>
          <w:rStyle w:val="normalchar"/>
          <w:sz w:val="22"/>
          <w:szCs w:val="22"/>
        </w:rPr>
        <w:t>193</w:t>
      </w:r>
      <w:r w:rsidRPr="005626C5">
        <w:rPr>
          <w:rStyle w:val="normalchar"/>
          <w:sz w:val="22"/>
          <w:szCs w:val="22"/>
        </w:rPr>
        <w:t xml:space="preserve"> zahtjeva i </w:t>
      </w:r>
      <w:r w:rsidR="00E05E86" w:rsidRPr="005626C5">
        <w:rPr>
          <w:rStyle w:val="normalchar"/>
          <w:sz w:val="22"/>
          <w:szCs w:val="22"/>
        </w:rPr>
        <w:t>16</w:t>
      </w:r>
      <w:r w:rsidRPr="005626C5">
        <w:rPr>
          <w:rStyle w:val="normalchar"/>
          <w:sz w:val="22"/>
          <w:szCs w:val="22"/>
        </w:rPr>
        <w:t xml:space="preserve"> zahtjeva </w:t>
      </w:r>
      <w:r w:rsidR="00801E19" w:rsidRPr="005626C5">
        <w:rPr>
          <w:rStyle w:val="normalchar"/>
          <w:sz w:val="22"/>
          <w:szCs w:val="22"/>
        </w:rPr>
        <w:t>je</w:t>
      </w:r>
      <w:r w:rsidR="00990A08" w:rsidRPr="005626C5">
        <w:rPr>
          <w:rStyle w:val="normalchar"/>
          <w:sz w:val="22"/>
          <w:szCs w:val="22"/>
        </w:rPr>
        <w:t xml:space="preserve"> prenesen</w:t>
      </w:r>
      <w:r w:rsidR="00801E19" w:rsidRPr="005626C5">
        <w:rPr>
          <w:rStyle w:val="normalchar"/>
          <w:sz w:val="22"/>
          <w:szCs w:val="22"/>
        </w:rPr>
        <w:t>o</w:t>
      </w:r>
      <w:r w:rsidRPr="005626C5">
        <w:rPr>
          <w:rStyle w:val="normalchar"/>
          <w:sz w:val="22"/>
          <w:szCs w:val="22"/>
        </w:rPr>
        <w:t xml:space="preserve"> iz pretho</w:t>
      </w:r>
      <w:r w:rsidR="00E05E86" w:rsidRPr="005626C5">
        <w:rPr>
          <w:rStyle w:val="normalchar"/>
          <w:sz w:val="22"/>
          <w:szCs w:val="22"/>
        </w:rPr>
        <w:t>dne godine i svi predmeti su riješeni</w:t>
      </w:r>
      <w:r w:rsidRPr="005626C5">
        <w:rPr>
          <w:rStyle w:val="normalchar"/>
          <w:sz w:val="22"/>
          <w:szCs w:val="22"/>
        </w:rPr>
        <w:t xml:space="preserve">. Sačinjeno je </w:t>
      </w:r>
      <w:r w:rsidR="00E05E86" w:rsidRPr="005626C5">
        <w:rPr>
          <w:rStyle w:val="normalchar"/>
          <w:sz w:val="22"/>
          <w:szCs w:val="22"/>
        </w:rPr>
        <w:t>634</w:t>
      </w:r>
      <w:r w:rsidRPr="005626C5">
        <w:rPr>
          <w:rStyle w:val="normalchar"/>
          <w:sz w:val="22"/>
          <w:szCs w:val="22"/>
        </w:rPr>
        <w:t xml:space="preserve"> akata kojima su pruženi odgovori, informacije, objašnjenja, izjašnjenja fizičkim i pravnim licima, organizacionim jedinicama UIO, drugim organima i institucijama u BiH, zatim razna izjašnjenja na prijedloge i/ili nacrte raznih propisa i drugo.</w:t>
      </w:r>
      <w:r w:rsidR="005626C5" w:rsidRPr="005626C5">
        <w:rPr>
          <w:rStyle w:val="normalchar"/>
          <w:sz w:val="22"/>
          <w:szCs w:val="22"/>
        </w:rPr>
        <w:t xml:space="preserve"> </w:t>
      </w:r>
    </w:p>
    <w:p w14:paraId="2DF790F4" w14:textId="729E3C35" w:rsidR="002D5E14" w:rsidRDefault="0095417A" w:rsidP="00801E19">
      <w:pPr>
        <w:pStyle w:val="Normal1"/>
        <w:spacing w:before="0" w:beforeAutospacing="0" w:after="0" w:afterAutospacing="0"/>
        <w:jc w:val="both"/>
        <w:rPr>
          <w:rStyle w:val="normalchar"/>
          <w:sz w:val="22"/>
          <w:szCs w:val="22"/>
        </w:rPr>
      </w:pPr>
      <w:r w:rsidRPr="00512BE3">
        <w:rPr>
          <w:rStyle w:val="normalchar"/>
          <w:sz w:val="22"/>
          <w:szCs w:val="22"/>
        </w:rPr>
        <w:t>U ok</w:t>
      </w:r>
      <w:r w:rsidR="002D5E14" w:rsidRPr="00512BE3">
        <w:rPr>
          <w:rStyle w:val="normalchar"/>
          <w:sz w:val="22"/>
          <w:szCs w:val="22"/>
        </w:rPr>
        <w:t xml:space="preserve">viru mjera na zaštiti intelektualne svojine </w:t>
      </w:r>
      <w:r w:rsidR="006F1CBC" w:rsidRPr="00512BE3">
        <w:rPr>
          <w:rStyle w:val="normalchar"/>
          <w:sz w:val="22"/>
          <w:szCs w:val="22"/>
        </w:rPr>
        <w:t>pokrenuto</w:t>
      </w:r>
      <w:r w:rsidR="002D5E14" w:rsidRPr="00512BE3">
        <w:rPr>
          <w:rStyle w:val="normalchar"/>
          <w:sz w:val="22"/>
          <w:szCs w:val="22"/>
        </w:rPr>
        <w:t xml:space="preserve"> je </w:t>
      </w:r>
      <w:r w:rsidR="00C302DE" w:rsidRPr="00512BE3">
        <w:rPr>
          <w:rStyle w:val="normalchar"/>
          <w:sz w:val="22"/>
          <w:szCs w:val="22"/>
        </w:rPr>
        <w:t>162</w:t>
      </w:r>
      <w:r w:rsidR="006F1CBC" w:rsidRPr="00512BE3">
        <w:rPr>
          <w:rStyle w:val="normalchar"/>
          <w:sz w:val="22"/>
          <w:szCs w:val="22"/>
        </w:rPr>
        <w:t xml:space="preserve"> upravnih</w:t>
      </w:r>
      <w:r w:rsidR="002D5E14" w:rsidRPr="00512BE3">
        <w:rPr>
          <w:rStyle w:val="normalchar"/>
          <w:sz w:val="22"/>
          <w:szCs w:val="22"/>
        </w:rPr>
        <w:t xml:space="preserve"> predmeta i doneseno je </w:t>
      </w:r>
      <w:r w:rsidR="00102258" w:rsidRPr="00512BE3">
        <w:rPr>
          <w:rStyle w:val="normalchar"/>
          <w:sz w:val="22"/>
          <w:szCs w:val="22"/>
        </w:rPr>
        <w:t>78</w:t>
      </w:r>
      <w:r w:rsidR="002D5E14" w:rsidRPr="00512BE3">
        <w:rPr>
          <w:rStyle w:val="normalchar"/>
          <w:sz w:val="22"/>
          <w:szCs w:val="22"/>
        </w:rPr>
        <w:t xml:space="preserve"> rješenja koja se odnose na preduzimanje carinskih mjera zaštite intelektualne svojine</w:t>
      </w:r>
      <w:r w:rsidR="00102258" w:rsidRPr="00512BE3">
        <w:rPr>
          <w:rStyle w:val="normalchar"/>
          <w:sz w:val="22"/>
          <w:szCs w:val="22"/>
        </w:rPr>
        <w:t xml:space="preserve">, </w:t>
      </w:r>
      <w:r w:rsidR="00801E19">
        <w:rPr>
          <w:rStyle w:val="normalchar"/>
          <w:sz w:val="22"/>
          <w:szCs w:val="22"/>
        </w:rPr>
        <w:t>sedam</w:t>
      </w:r>
      <w:r w:rsidR="00102258" w:rsidRPr="00512BE3">
        <w:rPr>
          <w:rStyle w:val="normalchar"/>
          <w:sz w:val="22"/>
          <w:szCs w:val="22"/>
        </w:rPr>
        <w:t xml:space="preserve"> raznih rješenja, 27 rješenja o privremenom zadržavanju robe zbog sumnje o povredu prava i 50 rješenja o oduzimanju i uništenju krivotvorene robe.</w:t>
      </w:r>
      <w:r w:rsidR="002D5E14" w:rsidRPr="00512BE3">
        <w:rPr>
          <w:rStyle w:val="normalchar"/>
          <w:sz w:val="22"/>
          <w:szCs w:val="22"/>
        </w:rPr>
        <w:t xml:space="preserve"> U istom periodu u regionalne centre dostavljeno je </w:t>
      </w:r>
      <w:r w:rsidR="001A489D" w:rsidRPr="00512BE3">
        <w:rPr>
          <w:rStyle w:val="normalchar"/>
          <w:sz w:val="22"/>
          <w:szCs w:val="22"/>
        </w:rPr>
        <w:t>69</w:t>
      </w:r>
      <w:r w:rsidR="002D5E14" w:rsidRPr="00512BE3">
        <w:rPr>
          <w:rStyle w:val="normalchar"/>
          <w:sz w:val="22"/>
          <w:szCs w:val="22"/>
        </w:rPr>
        <w:t xml:space="preserve"> rješenja o odobrenju za kretanje naoružanja i vojne opreme, </w:t>
      </w:r>
      <w:r w:rsidR="001A489D" w:rsidRPr="00512BE3">
        <w:rPr>
          <w:rStyle w:val="normalchar"/>
          <w:sz w:val="22"/>
          <w:szCs w:val="22"/>
        </w:rPr>
        <w:t>167</w:t>
      </w:r>
      <w:r w:rsidR="002D5E14" w:rsidRPr="00512BE3">
        <w:rPr>
          <w:rStyle w:val="normalchar"/>
          <w:sz w:val="22"/>
          <w:szCs w:val="22"/>
        </w:rPr>
        <w:t xml:space="preserve"> najava kretanja naoružanja i vojne opreme, </w:t>
      </w:r>
      <w:r w:rsidR="001A489D" w:rsidRPr="00512BE3">
        <w:rPr>
          <w:rStyle w:val="normalchar"/>
          <w:sz w:val="22"/>
          <w:szCs w:val="22"/>
        </w:rPr>
        <w:t>173 najave</w:t>
      </w:r>
      <w:r w:rsidR="002D5E14" w:rsidRPr="00512BE3">
        <w:rPr>
          <w:rStyle w:val="normalchar"/>
          <w:sz w:val="22"/>
          <w:szCs w:val="22"/>
        </w:rPr>
        <w:t xml:space="preserve"> dolaska pripadnika oružanih snaga BiH </w:t>
      </w:r>
      <w:r w:rsidR="000833B0" w:rsidRPr="00512BE3">
        <w:rPr>
          <w:sz w:val="22"/>
          <w:szCs w:val="22"/>
          <w:lang w:val="sr-Latn-CS"/>
        </w:rPr>
        <w:t>unutar i van granice BiH</w:t>
      </w:r>
      <w:r w:rsidR="001A489D" w:rsidRPr="00512BE3">
        <w:rPr>
          <w:rStyle w:val="normalchar"/>
          <w:sz w:val="22"/>
          <w:szCs w:val="22"/>
        </w:rPr>
        <w:t xml:space="preserve"> i 50 raznih najava i obavijesti (najava dolaska novih članova Tima za obezbjeđenje Visokog predstavnika za BiH, obavijesti o prispjeću diplomatska pošte, obavijest o posjeti komesara EU za susjedstvo i proširenje, najave prelaska granice streljačkih klubova sa pratećom opremom, obavještenje o vađenju NUS-a (deminerski timovi), obavještenja o obuci ronilačkih timova, najava prenosa promotivnih materijala u sklopu projekta PA.CON).</w:t>
      </w:r>
    </w:p>
    <w:p w14:paraId="3B78BBA9" w14:textId="73594CD5" w:rsidR="00C0420F" w:rsidRPr="00CE5778" w:rsidRDefault="00C0420F" w:rsidP="00801E19">
      <w:pPr>
        <w:pStyle w:val="Normal1"/>
        <w:spacing w:before="0" w:beforeAutospacing="0" w:after="0" w:afterAutospacing="0"/>
        <w:jc w:val="both"/>
        <w:rPr>
          <w:rStyle w:val="normalchar"/>
          <w:i/>
          <w:sz w:val="22"/>
          <w:szCs w:val="22"/>
        </w:rPr>
      </w:pPr>
      <w:r w:rsidRPr="005626C5">
        <w:rPr>
          <w:rStyle w:val="normalchar"/>
          <w:sz w:val="22"/>
          <w:szCs w:val="22"/>
        </w:rPr>
        <w:t>U prvostepenom carinskom upravnom postupku u 2022. godini postupano je po ukupno</w:t>
      </w:r>
      <w:r w:rsidR="00A47E8A" w:rsidRPr="005626C5">
        <w:rPr>
          <w:rStyle w:val="normalchar"/>
          <w:sz w:val="22"/>
          <w:szCs w:val="22"/>
        </w:rPr>
        <w:t xml:space="preserve"> 10.756 u</w:t>
      </w:r>
      <w:r w:rsidRPr="005626C5">
        <w:rPr>
          <w:rStyle w:val="normalchar"/>
          <w:sz w:val="22"/>
          <w:szCs w:val="22"/>
        </w:rPr>
        <w:t>pravnih predmeta od kojih je riješeno</w:t>
      </w:r>
      <w:r w:rsidR="00A47E8A" w:rsidRPr="005626C5">
        <w:rPr>
          <w:rStyle w:val="normalchar"/>
          <w:sz w:val="22"/>
          <w:szCs w:val="22"/>
        </w:rPr>
        <w:t xml:space="preserve"> 8.321 </w:t>
      </w:r>
      <w:r w:rsidRPr="005626C5">
        <w:rPr>
          <w:rStyle w:val="normalchar"/>
          <w:sz w:val="22"/>
          <w:szCs w:val="22"/>
        </w:rPr>
        <w:t>predmet</w:t>
      </w:r>
      <w:r w:rsidR="005626C5" w:rsidRPr="005626C5">
        <w:rPr>
          <w:rStyle w:val="normalchar"/>
          <w:sz w:val="22"/>
          <w:szCs w:val="22"/>
        </w:rPr>
        <w:t xml:space="preserve">, </w:t>
      </w:r>
      <w:r w:rsidR="00A47E8A" w:rsidRPr="005626C5">
        <w:rPr>
          <w:rStyle w:val="normalchar"/>
          <w:sz w:val="22"/>
          <w:szCs w:val="22"/>
        </w:rPr>
        <w:t xml:space="preserve">dok je 2.435 predmeta  neriješeno </w:t>
      </w:r>
      <w:r w:rsidR="005626C5" w:rsidRPr="005626C5">
        <w:rPr>
          <w:rStyle w:val="normalchar"/>
          <w:sz w:val="22"/>
          <w:szCs w:val="22"/>
        </w:rPr>
        <w:t>i</w:t>
      </w:r>
      <w:r w:rsidR="00A47E8A" w:rsidRPr="005626C5">
        <w:rPr>
          <w:rStyle w:val="normalchar"/>
          <w:sz w:val="22"/>
          <w:szCs w:val="22"/>
        </w:rPr>
        <w:t xml:space="preserve"> preneseno u narednu godinu. </w:t>
      </w:r>
      <w:r w:rsidR="005626C5" w:rsidRPr="005626C5">
        <w:rPr>
          <w:rStyle w:val="normalchar"/>
          <w:sz w:val="22"/>
          <w:szCs w:val="22"/>
        </w:rPr>
        <w:t>S</w:t>
      </w:r>
      <w:r w:rsidR="00A47E8A" w:rsidRPr="005626C5">
        <w:rPr>
          <w:rStyle w:val="normalchar"/>
          <w:sz w:val="22"/>
          <w:szCs w:val="22"/>
        </w:rPr>
        <w:t>tanj</w:t>
      </w:r>
      <w:r w:rsidR="005626C5" w:rsidRPr="005626C5">
        <w:rPr>
          <w:rStyle w:val="normalchar"/>
          <w:sz w:val="22"/>
          <w:szCs w:val="22"/>
        </w:rPr>
        <w:t>e</w:t>
      </w:r>
      <w:r w:rsidR="00A47E8A" w:rsidRPr="005626C5">
        <w:rPr>
          <w:rStyle w:val="normalchar"/>
          <w:sz w:val="22"/>
          <w:szCs w:val="22"/>
        </w:rPr>
        <w:t xml:space="preserve"> upravnih predmeta po regionalnim centrima iskazan je u tabelarnom pregledu </w:t>
      </w:r>
      <w:r w:rsidR="00A47E8A" w:rsidRPr="00CE5778">
        <w:rPr>
          <w:rStyle w:val="normalchar"/>
          <w:i/>
          <w:sz w:val="22"/>
          <w:szCs w:val="22"/>
        </w:rPr>
        <w:t>Tabela br.2</w:t>
      </w:r>
      <w:r w:rsidR="00CE5778" w:rsidRPr="00CE5778">
        <w:rPr>
          <w:rStyle w:val="normalchar"/>
          <w:i/>
          <w:sz w:val="22"/>
          <w:szCs w:val="22"/>
        </w:rPr>
        <w:t>4</w:t>
      </w:r>
      <w:r w:rsidR="00A47E8A" w:rsidRPr="00CE5778">
        <w:rPr>
          <w:rStyle w:val="normalchar"/>
          <w:i/>
          <w:sz w:val="22"/>
          <w:szCs w:val="22"/>
        </w:rPr>
        <w:t xml:space="preserve">. </w:t>
      </w:r>
    </w:p>
    <w:p w14:paraId="2587410E" w14:textId="110AC280" w:rsidR="00A47E8A" w:rsidRPr="005626C5" w:rsidRDefault="00A47E8A" w:rsidP="00801E19">
      <w:pPr>
        <w:pStyle w:val="Normal1"/>
        <w:spacing w:before="0" w:beforeAutospacing="0" w:after="0" w:afterAutospacing="0"/>
        <w:jc w:val="both"/>
        <w:rPr>
          <w:rStyle w:val="normalchar"/>
          <w:b/>
          <w:i/>
          <w:sz w:val="22"/>
          <w:szCs w:val="22"/>
        </w:rPr>
      </w:pPr>
      <w:r w:rsidRPr="005626C5">
        <w:rPr>
          <w:rStyle w:val="normalchar"/>
          <w:b/>
          <w:i/>
          <w:sz w:val="22"/>
          <w:szCs w:val="22"/>
        </w:rPr>
        <w:t>Tabela 2</w:t>
      </w:r>
      <w:r w:rsidR="00CE5778">
        <w:rPr>
          <w:rStyle w:val="normalchar"/>
          <w:b/>
          <w:i/>
          <w:sz w:val="22"/>
          <w:szCs w:val="22"/>
        </w:rPr>
        <w:t>4</w:t>
      </w:r>
      <w:r w:rsidRPr="005626C5">
        <w:rPr>
          <w:rStyle w:val="normalchar"/>
          <w:b/>
          <w:i/>
          <w:sz w:val="22"/>
          <w:szCs w:val="22"/>
        </w:rPr>
        <w:t>. Pregled prvostepenih carinskih upravnih predmeta</w:t>
      </w:r>
    </w:p>
    <w:tbl>
      <w:tblPr>
        <w:tblStyle w:val="TableGrid"/>
        <w:tblW w:w="0" w:type="auto"/>
        <w:tblLook w:val="04A0" w:firstRow="1" w:lastRow="0" w:firstColumn="1" w:lastColumn="0" w:noHBand="0" w:noVBand="1"/>
      </w:tblPr>
      <w:tblGrid>
        <w:gridCol w:w="1555"/>
        <w:gridCol w:w="2550"/>
        <w:gridCol w:w="2689"/>
        <w:gridCol w:w="2266"/>
      </w:tblGrid>
      <w:tr w:rsidR="00A47E8A" w:rsidRPr="00104F77" w14:paraId="6E7DA401" w14:textId="77777777" w:rsidTr="00A47E8A">
        <w:tc>
          <w:tcPr>
            <w:tcW w:w="1555" w:type="dxa"/>
            <w:shd w:val="clear" w:color="auto" w:fill="A8D08D" w:themeFill="accent6" w:themeFillTint="99"/>
            <w:vAlign w:val="center"/>
          </w:tcPr>
          <w:p w14:paraId="1E021D43" w14:textId="77777777" w:rsidR="00A47E8A" w:rsidRPr="00104F77" w:rsidRDefault="00A47E8A" w:rsidP="00A47E8A">
            <w:pPr>
              <w:rPr>
                <w:b/>
                <w:sz w:val="20"/>
                <w:szCs w:val="20"/>
              </w:rPr>
            </w:pPr>
            <w:r w:rsidRPr="00104F77">
              <w:rPr>
                <w:b/>
                <w:sz w:val="20"/>
                <w:szCs w:val="20"/>
              </w:rPr>
              <w:t>REGIONALNI CENTAR</w:t>
            </w:r>
          </w:p>
        </w:tc>
        <w:tc>
          <w:tcPr>
            <w:tcW w:w="2551" w:type="dxa"/>
            <w:shd w:val="clear" w:color="auto" w:fill="A8D08D" w:themeFill="accent6" w:themeFillTint="99"/>
            <w:vAlign w:val="center"/>
          </w:tcPr>
          <w:p w14:paraId="52294624" w14:textId="77777777" w:rsidR="00A47E8A" w:rsidRPr="00104F77" w:rsidRDefault="00A47E8A" w:rsidP="00A47E8A">
            <w:pPr>
              <w:jc w:val="center"/>
              <w:rPr>
                <w:b/>
                <w:sz w:val="20"/>
                <w:szCs w:val="20"/>
              </w:rPr>
            </w:pPr>
            <w:r w:rsidRPr="00104F77">
              <w:rPr>
                <w:b/>
                <w:sz w:val="20"/>
                <w:szCs w:val="20"/>
              </w:rPr>
              <w:t>BROJ PRIMLJENIH PREDMETA</w:t>
            </w:r>
          </w:p>
        </w:tc>
        <w:tc>
          <w:tcPr>
            <w:tcW w:w="2690" w:type="dxa"/>
            <w:shd w:val="clear" w:color="auto" w:fill="A8D08D" w:themeFill="accent6" w:themeFillTint="99"/>
            <w:vAlign w:val="center"/>
          </w:tcPr>
          <w:p w14:paraId="1474B2C4" w14:textId="77777777" w:rsidR="00A47E8A" w:rsidRPr="00104F77" w:rsidRDefault="00A47E8A" w:rsidP="00A47E8A">
            <w:pPr>
              <w:jc w:val="center"/>
              <w:rPr>
                <w:b/>
                <w:sz w:val="20"/>
                <w:szCs w:val="20"/>
              </w:rPr>
            </w:pPr>
            <w:r w:rsidRPr="00104F77">
              <w:rPr>
                <w:b/>
                <w:sz w:val="20"/>
                <w:szCs w:val="20"/>
              </w:rPr>
              <w:t>BROJ RIJEŠENIH PREDMETA</w:t>
            </w:r>
          </w:p>
        </w:tc>
        <w:tc>
          <w:tcPr>
            <w:tcW w:w="2266" w:type="dxa"/>
            <w:shd w:val="clear" w:color="auto" w:fill="A8D08D" w:themeFill="accent6" w:themeFillTint="99"/>
            <w:vAlign w:val="center"/>
          </w:tcPr>
          <w:p w14:paraId="5BFABAF4" w14:textId="77777777" w:rsidR="00A47E8A" w:rsidRPr="00104F77" w:rsidRDefault="00A47E8A" w:rsidP="00A47E8A">
            <w:pPr>
              <w:jc w:val="center"/>
              <w:rPr>
                <w:b/>
                <w:sz w:val="20"/>
                <w:szCs w:val="20"/>
              </w:rPr>
            </w:pPr>
            <w:r w:rsidRPr="00104F77">
              <w:rPr>
                <w:b/>
                <w:sz w:val="20"/>
                <w:szCs w:val="20"/>
              </w:rPr>
              <w:t>BROJ NERIJEŠENIH</w:t>
            </w:r>
          </w:p>
          <w:p w14:paraId="3CE313DC" w14:textId="77777777" w:rsidR="00A47E8A" w:rsidRPr="00104F77" w:rsidRDefault="00A47E8A" w:rsidP="00A47E8A">
            <w:pPr>
              <w:jc w:val="center"/>
              <w:rPr>
                <w:b/>
                <w:sz w:val="20"/>
                <w:szCs w:val="20"/>
              </w:rPr>
            </w:pPr>
            <w:r w:rsidRPr="00104F77">
              <w:rPr>
                <w:b/>
                <w:sz w:val="20"/>
                <w:szCs w:val="20"/>
              </w:rPr>
              <w:t>PREDMETA</w:t>
            </w:r>
          </w:p>
        </w:tc>
      </w:tr>
      <w:tr w:rsidR="00A47E8A" w:rsidRPr="00104F77" w14:paraId="3F9F20A7" w14:textId="77777777" w:rsidTr="00A47E8A">
        <w:tc>
          <w:tcPr>
            <w:tcW w:w="1555" w:type="dxa"/>
            <w:shd w:val="clear" w:color="auto" w:fill="E2EFD9" w:themeFill="accent6" w:themeFillTint="33"/>
            <w:vAlign w:val="center"/>
          </w:tcPr>
          <w:p w14:paraId="6509A655" w14:textId="77777777" w:rsidR="00A47E8A" w:rsidRPr="00104F77" w:rsidRDefault="00A47E8A" w:rsidP="00A47E8A">
            <w:pPr>
              <w:rPr>
                <w:sz w:val="20"/>
                <w:szCs w:val="20"/>
              </w:rPr>
            </w:pPr>
            <w:r w:rsidRPr="00104F77">
              <w:rPr>
                <w:sz w:val="20"/>
                <w:szCs w:val="20"/>
              </w:rPr>
              <w:t>Banja Luka</w:t>
            </w:r>
          </w:p>
        </w:tc>
        <w:tc>
          <w:tcPr>
            <w:tcW w:w="2551" w:type="dxa"/>
            <w:shd w:val="clear" w:color="auto" w:fill="FFF2CC" w:themeFill="accent4" w:themeFillTint="33"/>
            <w:vAlign w:val="center"/>
          </w:tcPr>
          <w:p w14:paraId="3E3F0157" w14:textId="77777777" w:rsidR="00A47E8A" w:rsidRPr="00104F77" w:rsidRDefault="00A47E8A" w:rsidP="00A47E8A">
            <w:pPr>
              <w:jc w:val="center"/>
              <w:rPr>
                <w:sz w:val="20"/>
                <w:szCs w:val="20"/>
              </w:rPr>
            </w:pPr>
            <w:r w:rsidRPr="00104F77">
              <w:rPr>
                <w:sz w:val="20"/>
                <w:szCs w:val="20"/>
              </w:rPr>
              <w:t>3.287</w:t>
            </w:r>
          </w:p>
        </w:tc>
        <w:tc>
          <w:tcPr>
            <w:tcW w:w="2690" w:type="dxa"/>
            <w:shd w:val="clear" w:color="auto" w:fill="FFF2CC" w:themeFill="accent4" w:themeFillTint="33"/>
            <w:vAlign w:val="center"/>
          </w:tcPr>
          <w:p w14:paraId="1223471E" w14:textId="77777777" w:rsidR="00A47E8A" w:rsidRPr="00104F77" w:rsidRDefault="00A47E8A" w:rsidP="00A47E8A">
            <w:pPr>
              <w:jc w:val="center"/>
              <w:rPr>
                <w:sz w:val="20"/>
                <w:szCs w:val="20"/>
              </w:rPr>
            </w:pPr>
            <w:r w:rsidRPr="00104F77">
              <w:rPr>
                <w:sz w:val="20"/>
                <w:szCs w:val="20"/>
              </w:rPr>
              <w:t>1.394</w:t>
            </w:r>
          </w:p>
        </w:tc>
        <w:tc>
          <w:tcPr>
            <w:tcW w:w="2266" w:type="dxa"/>
            <w:shd w:val="clear" w:color="auto" w:fill="FFF2CC" w:themeFill="accent4" w:themeFillTint="33"/>
            <w:vAlign w:val="center"/>
          </w:tcPr>
          <w:p w14:paraId="6E6BFB93" w14:textId="77777777" w:rsidR="00A47E8A" w:rsidRPr="00104F77" w:rsidRDefault="00A47E8A" w:rsidP="00A47E8A">
            <w:pPr>
              <w:jc w:val="center"/>
              <w:rPr>
                <w:sz w:val="20"/>
                <w:szCs w:val="20"/>
              </w:rPr>
            </w:pPr>
            <w:r w:rsidRPr="00104F77">
              <w:rPr>
                <w:sz w:val="20"/>
                <w:szCs w:val="20"/>
              </w:rPr>
              <w:t>1.893</w:t>
            </w:r>
          </w:p>
        </w:tc>
      </w:tr>
      <w:tr w:rsidR="00A47E8A" w:rsidRPr="00104F77" w14:paraId="586C71A7" w14:textId="77777777" w:rsidTr="00A47E8A">
        <w:tc>
          <w:tcPr>
            <w:tcW w:w="1555" w:type="dxa"/>
            <w:shd w:val="clear" w:color="auto" w:fill="E2EFD9" w:themeFill="accent6" w:themeFillTint="33"/>
            <w:vAlign w:val="center"/>
          </w:tcPr>
          <w:p w14:paraId="56B47006" w14:textId="77777777" w:rsidR="00A47E8A" w:rsidRPr="00104F77" w:rsidRDefault="00A47E8A" w:rsidP="00A47E8A">
            <w:pPr>
              <w:rPr>
                <w:sz w:val="20"/>
                <w:szCs w:val="20"/>
              </w:rPr>
            </w:pPr>
            <w:r w:rsidRPr="00104F77">
              <w:rPr>
                <w:sz w:val="20"/>
                <w:szCs w:val="20"/>
              </w:rPr>
              <w:t>Sarajevo</w:t>
            </w:r>
          </w:p>
        </w:tc>
        <w:tc>
          <w:tcPr>
            <w:tcW w:w="2551" w:type="dxa"/>
            <w:shd w:val="clear" w:color="auto" w:fill="FFF2CC" w:themeFill="accent4" w:themeFillTint="33"/>
            <w:vAlign w:val="center"/>
          </w:tcPr>
          <w:p w14:paraId="633A6959" w14:textId="77777777" w:rsidR="00A47E8A" w:rsidRPr="00104F77" w:rsidRDefault="00A47E8A" w:rsidP="00A47E8A">
            <w:pPr>
              <w:jc w:val="center"/>
              <w:rPr>
                <w:sz w:val="20"/>
                <w:szCs w:val="20"/>
              </w:rPr>
            </w:pPr>
            <w:r w:rsidRPr="00104F77">
              <w:rPr>
                <w:sz w:val="20"/>
                <w:szCs w:val="20"/>
              </w:rPr>
              <w:t>2.488</w:t>
            </w:r>
          </w:p>
        </w:tc>
        <w:tc>
          <w:tcPr>
            <w:tcW w:w="2690" w:type="dxa"/>
            <w:shd w:val="clear" w:color="auto" w:fill="FFF2CC" w:themeFill="accent4" w:themeFillTint="33"/>
            <w:vAlign w:val="center"/>
          </w:tcPr>
          <w:p w14:paraId="52E86CFF" w14:textId="77777777" w:rsidR="00A47E8A" w:rsidRPr="00104F77" w:rsidRDefault="00A47E8A" w:rsidP="00A47E8A">
            <w:pPr>
              <w:jc w:val="center"/>
              <w:rPr>
                <w:sz w:val="20"/>
                <w:szCs w:val="20"/>
              </w:rPr>
            </w:pPr>
            <w:r w:rsidRPr="00104F77">
              <w:rPr>
                <w:sz w:val="20"/>
                <w:szCs w:val="20"/>
              </w:rPr>
              <w:t>2.201</w:t>
            </w:r>
          </w:p>
        </w:tc>
        <w:tc>
          <w:tcPr>
            <w:tcW w:w="2266" w:type="dxa"/>
            <w:shd w:val="clear" w:color="auto" w:fill="FFF2CC" w:themeFill="accent4" w:themeFillTint="33"/>
            <w:vAlign w:val="center"/>
          </w:tcPr>
          <w:p w14:paraId="39AA6188" w14:textId="77777777" w:rsidR="00A47E8A" w:rsidRPr="00104F77" w:rsidRDefault="00A47E8A" w:rsidP="00A47E8A">
            <w:pPr>
              <w:jc w:val="center"/>
              <w:rPr>
                <w:sz w:val="20"/>
                <w:szCs w:val="20"/>
              </w:rPr>
            </w:pPr>
            <w:r w:rsidRPr="00104F77">
              <w:rPr>
                <w:sz w:val="20"/>
                <w:szCs w:val="20"/>
              </w:rPr>
              <w:t>287</w:t>
            </w:r>
          </w:p>
        </w:tc>
      </w:tr>
      <w:tr w:rsidR="00A47E8A" w:rsidRPr="00104F77" w14:paraId="38C08B90" w14:textId="77777777" w:rsidTr="00A47E8A">
        <w:tc>
          <w:tcPr>
            <w:tcW w:w="1555" w:type="dxa"/>
            <w:shd w:val="clear" w:color="auto" w:fill="E2EFD9" w:themeFill="accent6" w:themeFillTint="33"/>
            <w:vAlign w:val="center"/>
          </w:tcPr>
          <w:p w14:paraId="5350E5F0" w14:textId="77777777" w:rsidR="00A47E8A" w:rsidRPr="00104F77" w:rsidRDefault="00A47E8A" w:rsidP="00A47E8A">
            <w:pPr>
              <w:rPr>
                <w:sz w:val="20"/>
                <w:szCs w:val="20"/>
              </w:rPr>
            </w:pPr>
            <w:r w:rsidRPr="00104F77">
              <w:rPr>
                <w:sz w:val="20"/>
                <w:szCs w:val="20"/>
              </w:rPr>
              <w:t>Tuzla</w:t>
            </w:r>
          </w:p>
        </w:tc>
        <w:tc>
          <w:tcPr>
            <w:tcW w:w="2551" w:type="dxa"/>
            <w:shd w:val="clear" w:color="auto" w:fill="FFF2CC" w:themeFill="accent4" w:themeFillTint="33"/>
            <w:vAlign w:val="center"/>
          </w:tcPr>
          <w:p w14:paraId="619212F5" w14:textId="77777777" w:rsidR="00A47E8A" w:rsidRPr="00104F77" w:rsidRDefault="00A47E8A" w:rsidP="00A47E8A">
            <w:pPr>
              <w:jc w:val="center"/>
              <w:rPr>
                <w:sz w:val="20"/>
                <w:szCs w:val="20"/>
              </w:rPr>
            </w:pPr>
            <w:r w:rsidRPr="00104F77">
              <w:rPr>
                <w:sz w:val="20"/>
                <w:szCs w:val="20"/>
              </w:rPr>
              <w:t>2.502</w:t>
            </w:r>
          </w:p>
        </w:tc>
        <w:tc>
          <w:tcPr>
            <w:tcW w:w="2690" w:type="dxa"/>
            <w:shd w:val="clear" w:color="auto" w:fill="FFF2CC" w:themeFill="accent4" w:themeFillTint="33"/>
            <w:vAlign w:val="center"/>
          </w:tcPr>
          <w:p w14:paraId="3BEE3AFD" w14:textId="77777777" w:rsidR="00A47E8A" w:rsidRPr="00104F77" w:rsidRDefault="00A47E8A" w:rsidP="00A47E8A">
            <w:pPr>
              <w:jc w:val="center"/>
              <w:rPr>
                <w:sz w:val="20"/>
                <w:szCs w:val="20"/>
              </w:rPr>
            </w:pPr>
            <w:r w:rsidRPr="00104F77">
              <w:rPr>
                <w:sz w:val="20"/>
                <w:szCs w:val="20"/>
              </w:rPr>
              <w:t>2.273</w:t>
            </w:r>
          </w:p>
        </w:tc>
        <w:tc>
          <w:tcPr>
            <w:tcW w:w="2266" w:type="dxa"/>
            <w:shd w:val="clear" w:color="auto" w:fill="FFF2CC" w:themeFill="accent4" w:themeFillTint="33"/>
            <w:vAlign w:val="center"/>
          </w:tcPr>
          <w:p w14:paraId="3D59CAA9" w14:textId="77777777" w:rsidR="00A47E8A" w:rsidRPr="00104F77" w:rsidRDefault="00A47E8A" w:rsidP="00A47E8A">
            <w:pPr>
              <w:jc w:val="center"/>
              <w:rPr>
                <w:sz w:val="20"/>
                <w:szCs w:val="20"/>
              </w:rPr>
            </w:pPr>
            <w:r w:rsidRPr="00104F77">
              <w:rPr>
                <w:sz w:val="20"/>
                <w:szCs w:val="20"/>
              </w:rPr>
              <w:t>229</w:t>
            </w:r>
          </w:p>
        </w:tc>
      </w:tr>
      <w:tr w:rsidR="00A47E8A" w:rsidRPr="00104F77" w14:paraId="0C08B103" w14:textId="77777777" w:rsidTr="00A47E8A">
        <w:tc>
          <w:tcPr>
            <w:tcW w:w="1555" w:type="dxa"/>
            <w:shd w:val="clear" w:color="auto" w:fill="E2EFD9" w:themeFill="accent6" w:themeFillTint="33"/>
            <w:vAlign w:val="center"/>
          </w:tcPr>
          <w:p w14:paraId="4DB6E8CE" w14:textId="77777777" w:rsidR="00A47E8A" w:rsidRPr="00104F77" w:rsidRDefault="00A47E8A" w:rsidP="00A47E8A">
            <w:pPr>
              <w:rPr>
                <w:sz w:val="20"/>
                <w:szCs w:val="20"/>
              </w:rPr>
            </w:pPr>
            <w:r w:rsidRPr="00104F77">
              <w:rPr>
                <w:sz w:val="20"/>
                <w:szCs w:val="20"/>
              </w:rPr>
              <w:t>Mostar</w:t>
            </w:r>
          </w:p>
        </w:tc>
        <w:tc>
          <w:tcPr>
            <w:tcW w:w="2551" w:type="dxa"/>
            <w:shd w:val="clear" w:color="auto" w:fill="FFF2CC" w:themeFill="accent4" w:themeFillTint="33"/>
            <w:vAlign w:val="center"/>
          </w:tcPr>
          <w:p w14:paraId="7D0E0A56" w14:textId="77777777" w:rsidR="00A47E8A" w:rsidRPr="00104F77" w:rsidRDefault="00A47E8A" w:rsidP="00A47E8A">
            <w:pPr>
              <w:jc w:val="center"/>
              <w:rPr>
                <w:sz w:val="20"/>
                <w:szCs w:val="20"/>
              </w:rPr>
            </w:pPr>
            <w:r w:rsidRPr="00104F77">
              <w:rPr>
                <w:sz w:val="20"/>
                <w:szCs w:val="20"/>
              </w:rPr>
              <w:t>2.479</w:t>
            </w:r>
          </w:p>
        </w:tc>
        <w:tc>
          <w:tcPr>
            <w:tcW w:w="2690" w:type="dxa"/>
            <w:shd w:val="clear" w:color="auto" w:fill="FFF2CC" w:themeFill="accent4" w:themeFillTint="33"/>
            <w:vAlign w:val="center"/>
          </w:tcPr>
          <w:p w14:paraId="1EAF8DD7" w14:textId="77777777" w:rsidR="00A47E8A" w:rsidRPr="00104F77" w:rsidRDefault="00A47E8A" w:rsidP="00A47E8A">
            <w:pPr>
              <w:jc w:val="center"/>
              <w:rPr>
                <w:sz w:val="20"/>
                <w:szCs w:val="20"/>
              </w:rPr>
            </w:pPr>
            <w:r w:rsidRPr="00104F77">
              <w:rPr>
                <w:sz w:val="20"/>
                <w:szCs w:val="20"/>
              </w:rPr>
              <w:t>2.453</w:t>
            </w:r>
          </w:p>
        </w:tc>
        <w:tc>
          <w:tcPr>
            <w:tcW w:w="2266" w:type="dxa"/>
            <w:shd w:val="clear" w:color="auto" w:fill="FFF2CC" w:themeFill="accent4" w:themeFillTint="33"/>
            <w:vAlign w:val="center"/>
          </w:tcPr>
          <w:p w14:paraId="4FE129AD" w14:textId="77777777" w:rsidR="00A47E8A" w:rsidRPr="00104F77" w:rsidRDefault="00A47E8A" w:rsidP="00A47E8A">
            <w:pPr>
              <w:jc w:val="center"/>
              <w:rPr>
                <w:sz w:val="20"/>
                <w:szCs w:val="20"/>
              </w:rPr>
            </w:pPr>
            <w:r w:rsidRPr="00104F77">
              <w:rPr>
                <w:sz w:val="20"/>
                <w:szCs w:val="20"/>
              </w:rPr>
              <w:t>26</w:t>
            </w:r>
          </w:p>
        </w:tc>
      </w:tr>
      <w:tr w:rsidR="00A47E8A" w:rsidRPr="00104F77" w14:paraId="5574B54C" w14:textId="77777777" w:rsidTr="00A47E8A">
        <w:tc>
          <w:tcPr>
            <w:tcW w:w="1555" w:type="dxa"/>
            <w:shd w:val="clear" w:color="auto" w:fill="A8D08D" w:themeFill="accent6" w:themeFillTint="99"/>
            <w:vAlign w:val="center"/>
          </w:tcPr>
          <w:p w14:paraId="447B676D" w14:textId="77777777" w:rsidR="00A47E8A" w:rsidRPr="00104F77" w:rsidRDefault="00A47E8A" w:rsidP="00A47E8A">
            <w:pPr>
              <w:rPr>
                <w:b/>
                <w:sz w:val="20"/>
                <w:szCs w:val="20"/>
              </w:rPr>
            </w:pPr>
            <w:r w:rsidRPr="00104F77">
              <w:rPr>
                <w:b/>
                <w:sz w:val="20"/>
                <w:szCs w:val="20"/>
              </w:rPr>
              <w:t>UKUPNO</w:t>
            </w:r>
          </w:p>
        </w:tc>
        <w:tc>
          <w:tcPr>
            <w:tcW w:w="2551" w:type="dxa"/>
            <w:shd w:val="clear" w:color="auto" w:fill="A8D08D" w:themeFill="accent6" w:themeFillTint="99"/>
            <w:vAlign w:val="center"/>
          </w:tcPr>
          <w:p w14:paraId="4D3BA84C" w14:textId="77777777" w:rsidR="00A47E8A" w:rsidRPr="00104F77" w:rsidRDefault="00A47E8A" w:rsidP="00A47E8A">
            <w:pPr>
              <w:jc w:val="center"/>
              <w:rPr>
                <w:b/>
                <w:sz w:val="20"/>
                <w:szCs w:val="20"/>
              </w:rPr>
            </w:pPr>
            <w:r w:rsidRPr="00104F77">
              <w:rPr>
                <w:b/>
                <w:sz w:val="20"/>
                <w:szCs w:val="20"/>
              </w:rPr>
              <w:t>10.756</w:t>
            </w:r>
          </w:p>
        </w:tc>
        <w:tc>
          <w:tcPr>
            <w:tcW w:w="2690" w:type="dxa"/>
            <w:shd w:val="clear" w:color="auto" w:fill="A8D08D" w:themeFill="accent6" w:themeFillTint="99"/>
            <w:vAlign w:val="center"/>
          </w:tcPr>
          <w:p w14:paraId="04B45470" w14:textId="77777777" w:rsidR="00A47E8A" w:rsidRPr="00104F77" w:rsidRDefault="00A47E8A" w:rsidP="00A47E8A">
            <w:pPr>
              <w:jc w:val="center"/>
              <w:rPr>
                <w:b/>
                <w:sz w:val="20"/>
                <w:szCs w:val="20"/>
              </w:rPr>
            </w:pPr>
            <w:r w:rsidRPr="00104F77">
              <w:rPr>
                <w:b/>
                <w:sz w:val="20"/>
                <w:szCs w:val="20"/>
              </w:rPr>
              <w:t>8.321</w:t>
            </w:r>
          </w:p>
        </w:tc>
        <w:tc>
          <w:tcPr>
            <w:tcW w:w="2266" w:type="dxa"/>
            <w:shd w:val="clear" w:color="auto" w:fill="A8D08D" w:themeFill="accent6" w:themeFillTint="99"/>
            <w:vAlign w:val="center"/>
          </w:tcPr>
          <w:p w14:paraId="15180496" w14:textId="77777777" w:rsidR="00A47E8A" w:rsidRPr="00104F77" w:rsidRDefault="00A47E8A" w:rsidP="00A47E8A">
            <w:pPr>
              <w:jc w:val="center"/>
              <w:rPr>
                <w:b/>
                <w:sz w:val="20"/>
                <w:szCs w:val="20"/>
              </w:rPr>
            </w:pPr>
            <w:r w:rsidRPr="00104F77">
              <w:rPr>
                <w:b/>
                <w:sz w:val="20"/>
                <w:szCs w:val="20"/>
              </w:rPr>
              <w:t>2.435</w:t>
            </w:r>
          </w:p>
        </w:tc>
      </w:tr>
    </w:tbl>
    <w:p w14:paraId="594A2268" w14:textId="77777777" w:rsidR="00A47E8A" w:rsidRPr="00C0420F" w:rsidRDefault="00A47E8A" w:rsidP="00801E19">
      <w:pPr>
        <w:pStyle w:val="Normal1"/>
        <w:spacing w:before="0" w:beforeAutospacing="0" w:after="0" w:afterAutospacing="0"/>
        <w:jc w:val="both"/>
        <w:rPr>
          <w:color w:val="FF0000"/>
          <w:sz w:val="22"/>
          <w:szCs w:val="22"/>
        </w:rPr>
      </w:pPr>
    </w:p>
    <w:p w14:paraId="0D809937" w14:textId="5A65D86B" w:rsidR="001C6D48" w:rsidRPr="00512BE3" w:rsidRDefault="001C6D48" w:rsidP="00D16541">
      <w:pPr>
        <w:spacing w:before="120" w:after="120" w:line="240" w:lineRule="atLeast"/>
        <w:jc w:val="both"/>
        <w:rPr>
          <w:sz w:val="27"/>
          <w:szCs w:val="27"/>
          <w:lang w:val="en-GB" w:eastAsia="en-GB"/>
        </w:rPr>
      </w:pPr>
      <w:bookmarkStart w:id="37" w:name="table1A"/>
      <w:bookmarkEnd w:id="37"/>
      <w:r w:rsidRPr="00512BE3">
        <w:rPr>
          <w:sz w:val="22"/>
          <w:lang w:val="en-GB" w:eastAsia="en-GB"/>
        </w:rPr>
        <w:t xml:space="preserve">U carinskom postupku izdato je ukupno </w:t>
      </w:r>
      <w:r w:rsidR="001A489D" w:rsidRPr="00512BE3">
        <w:rPr>
          <w:sz w:val="22"/>
          <w:lang w:val="en-GB" w:eastAsia="en-GB"/>
        </w:rPr>
        <w:t>1</w:t>
      </w:r>
      <w:r w:rsidR="005678A5">
        <w:rPr>
          <w:sz w:val="22"/>
          <w:lang w:val="en-GB" w:eastAsia="en-GB"/>
        </w:rPr>
        <w:t>.</w:t>
      </w:r>
      <w:r w:rsidR="001A489D" w:rsidRPr="00512BE3">
        <w:rPr>
          <w:sz w:val="22"/>
          <w:lang w:val="en-GB" w:eastAsia="en-GB"/>
        </w:rPr>
        <w:t>510</w:t>
      </w:r>
      <w:r w:rsidRPr="00512BE3">
        <w:rPr>
          <w:sz w:val="22"/>
          <w:lang w:val="en-GB" w:eastAsia="en-GB"/>
        </w:rPr>
        <w:t xml:space="preserve"> prekršajn</w:t>
      </w:r>
      <w:r w:rsidR="00BC2423" w:rsidRPr="00512BE3">
        <w:rPr>
          <w:sz w:val="22"/>
          <w:lang w:val="en-GB" w:eastAsia="en-GB"/>
        </w:rPr>
        <w:t>ih naloga</w:t>
      </w:r>
      <w:r w:rsidR="004D7B98" w:rsidRPr="00512BE3">
        <w:rPr>
          <w:sz w:val="22"/>
          <w:lang w:val="en-GB" w:eastAsia="en-GB"/>
        </w:rPr>
        <w:t>,</w:t>
      </w:r>
      <w:r w:rsidR="00BC2423" w:rsidRPr="00512BE3">
        <w:rPr>
          <w:sz w:val="22"/>
          <w:lang w:val="en-GB" w:eastAsia="en-GB"/>
        </w:rPr>
        <w:t xml:space="preserve"> od čega je</w:t>
      </w:r>
      <w:r w:rsidRPr="00512BE3">
        <w:rPr>
          <w:sz w:val="22"/>
          <w:lang w:val="en-GB" w:eastAsia="en-GB"/>
        </w:rPr>
        <w:t xml:space="preserve"> </w:t>
      </w:r>
      <w:r w:rsidR="00BC2423" w:rsidRPr="00512BE3">
        <w:rPr>
          <w:sz w:val="22"/>
          <w:lang w:val="en-GB" w:eastAsia="en-GB"/>
        </w:rPr>
        <w:t xml:space="preserve">u </w:t>
      </w:r>
      <w:r w:rsidR="001A489D" w:rsidRPr="00512BE3">
        <w:rPr>
          <w:sz w:val="22"/>
          <w:lang w:val="en-GB" w:eastAsia="en-GB"/>
        </w:rPr>
        <w:t>1</w:t>
      </w:r>
      <w:r w:rsidR="005678A5">
        <w:rPr>
          <w:sz w:val="22"/>
          <w:lang w:val="en-GB" w:eastAsia="en-GB"/>
        </w:rPr>
        <w:t>.</w:t>
      </w:r>
      <w:r w:rsidR="001A489D" w:rsidRPr="00512BE3">
        <w:rPr>
          <w:sz w:val="22"/>
          <w:lang w:val="en-GB" w:eastAsia="en-GB"/>
        </w:rPr>
        <w:t>501</w:t>
      </w:r>
      <w:r w:rsidRPr="00512BE3">
        <w:rPr>
          <w:sz w:val="22"/>
          <w:lang w:val="en-GB" w:eastAsia="en-GB"/>
        </w:rPr>
        <w:t xml:space="preserve"> slučaj</w:t>
      </w:r>
      <w:r w:rsidR="001A489D" w:rsidRPr="00512BE3">
        <w:rPr>
          <w:sz w:val="22"/>
          <w:lang w:val="en-GB" w:eastAsia="en-GB"/>
        </w:rPr>
        <w:t xml:space="preserve">u </w:t>
      </w:r>
      <w:r w:rsidRPr="00512BE3">
        <w:rPr>
          <w:sz w:val="22"/>
          <w:lang w:val="en-GB" w:eastAsia="en-GB"/>
        </w:rPr>
        <w:t>prihvać</w:t>
      </w:r>
      <w:r w:rsidR="001A489D" w:rsidRPr="00512BE3">
        <w:rPr>
          <w:sz w:val="22"/>
          <w:lang w:val="en-GB" w:eastAsia="en-GB"/>
        </w:rPr>
        <w:t>ena odgovornost i kod 9</w:t>
      </w:r>
      <w:r w:rsidR="00BC2423" w:rsidRPr="00512BE3">
        <w:rPr>
          <w:sz w:val="22"/>
          <w:lang w:val="en-GB" w:eastAsia="en-GB"/>
        </w:rPr>
        <w:t xml:space="preserve"> naloga nije prihvaćena odgovornost</w:t>
      </w:r>
      <w:r w:rsidR="006A0436" w:rsidRPr="00512BE3">
        <w:rPr>
          <w:sz w:val="22"/>
          <w:lang w:val="en-GB" w:eastAsia="en-GB"/>
        </w:rPr>
        <w:t xml:space="preserve"> i zatražena je sudska zštita</w:t>
      </w:r>
      <w:r w:rsidR="00BC2423" w:rsidRPr="00512BE3">
        <w:rPr>
          <w:sz w:val="22"/>
          <w:lang w:val="en-GB" w:eastAsia="en-GB"/>
        </w:rPr>
        <w:t xml:space="preserve">, </w:t>
      </w:r>
      <w:r w:rsidRPr="00512BE3">
        <w:rPr>
          <w:sz w:val="22"/>
          <w:lang w:val="en-GB" w:eastAsia="en-GB"/>
        </w:rPr>
        <w:t xml:space="preserve">izrečene su novčane kazne u iznosu od </w:t>
      </w:r>
      <w:r w:rsidR="001A489D" w:rsidRPr="00512BE3">
        <w:rPr>
          <w:sz w:val="22"/>
          <w:lang w:val="en-GB" w:eastAsia="en-GB"/>
        </w:rPr>
        <w:t>331.735,00</w:t>
      </w:r>
      <w:r w:rsidRPr="00512BE3">
        <w:rPr>
          <w:sz w:val="22"/>
          <w:lang w:val="en-GB" w:eastAsia="en-GB"/>
        </w:rPr>
        <w:t xml:space="preserve"> KM, od čega je naplaćeno </w:t>
      </w:r>
      <w:r w:rsidR="001A489D" w:rsidRPr="00512BE3">
        <w:rPr>
          <w:sz w:val="22"/>
          <w:lang w:val="en-GB" w:eastAsia="en-GB"/>
        </w:rPr>
        <w:t>278.635,00</w:t>
      </w:r>
      <w:r w:rsidRPr="00512BE3">
        <w:rPr>
          <w:sz w:val="22"/>
          <w:lang w:val="en-GB" w:eastAsia="en-GB"/>
        </w:rPr>
        <w:t xml:space="preserve"> KM. Podneseno je </w:t>
      </w:r>
      <w:r w:rsidR="001A489D" w:rsidRPr="00512BE3">
        <w:rPr>
          <w:sz w:val="22"/>
          <w:lang w:val="en-GB" w:eastAsia="en-GB"/>
        </w:rPr>
        <w:t>48</w:t>
      </w:r>
      <w:r w:rsidRPr="00512BE3">
        <w:rPr>
          <w:sz w:val="22"/>
          <w:lang w:val="en-GB" w:eastAsia="en-GB"/>
        </w:rPr>
        <w:t xml:space="preserve"> zahtjev</w:t>
      </w:r>
      <w:r w:rsidR="002A6C18" w:rsidRPr="00512BE3">
        <w:rPr>
          <w:sz w:val="22"/>
          <w:lang w:val="en-GB" w:eastAsia="en-GB"/>
        </w:rPr>
        <w:t>a</w:t>
      </w:r>
      <w:r w:rsidRPr="00512BE3">
        <w:rPr>
          <w:sz w:val="22"/>
          <w:lang w:val="en-GB" w:eastAsia="en-GB"/>
        </w:rPr>
        <w:t xml:space="preserve"> za pokretanje prekršajnog postupka</w:t>
      </w:r>
      <w:r w:rsidR="002A6C18" w:rsidRPr="00512BE3">
        <w:rPr>
          <w:sz w:val="22"/>
          <w:lang w:val="en-GB" w:eastAsia="en-GB"/>
        </w:rPr>
        <w:t xml:space="preserve"> i ukupno je naplaćeno po rješenjima sudova</w:t>
      </w:r>
      <w:r w:rsidRPr="00512BE3">
        <w:rPr>
          <w:sz w:val="22"/>
          <w:lang w:val="en-GB" w:eastAsia="en-GB"/>
        </w:rPr>
        <w:t xml:space="preserve"> </w:t>
      </w:r>
      <w:r w:rsidR="001A489D" w:rsidRPr="00512BE3">
        <w:rPr>
          <w:sz w:val="22"/>
          <w:lang w:val="en-GB" w:eastAsia="en-GB"/>
        </w:rPr>
        <w:t xml:space="preserve">11.200,00 </w:t>
      </w:r>
      <w:r w:rsidRPr="00512BE3">
        <w:rPr>
          <w:sz w:val="22"/>
          <w:lang w:val="en-GB" w:eastAsia="en-GB"/>
        </w:rPr>
        <w:t xml:space="preserve"> KM</w:t>
      </w:r>
    </w:p>
    <w:p w14:paraId="19828BC7" w14:textId="77777777" w:rsidR="00573E95" w:rsidRPr="00512BE3" w:rsidRDefault="00573E95" w:rsidP="000F7099">
      <w:pPr>
        <w:jc w:val="both"/>
        <w:rPr>
          <w:sz w:val="22"/>
          <w:szCs w:val="22"/>
          <w:lang w:val="bs-Latn-BA"/>
        </w:rPr>
      </w:pPr>
    </w:p>
    <w:p w14:paraId="40391EFE" w14:textId="77777777" w:rsidR="00586B9F" w:rsidRPr="00512BE3" w:rsidRDefault="00FD7CC0" w:rsidP="000F7099">
      <w:pPr>
        <w:pStyle w:val="Heading1"/>
        <w:spacing w:before="0" w:after="200"/>
        <w:ind w:left="284" w:hanging="284"/>
        <w:rPr>
          <w:lang w:val="bs-Latn-BA"/>
        </w:rPr>
      </w:pPr>
      <w:bookmarkStart w:id="38" w:name="_Toc95294159"/>
      <w:r w:rsidRPr="00512BE3">
        <w:rPr>
          <w:lang w:val="bs-Latn-BA"/>
        </w:rPr>
        <w:lastRenderedPageBreak/>
        <w:t>DRUGOSTEPENI UPRAVNI POSTUPAK</w:t>
      </w:r>
      <w:bookmarkEnd w:id="38"/>
    </w:p>
    <w:p w14:paraId="6A66DDF9" w14:textId="7C536DB4" w:rsidR="00220D5E" w:rsidRPr="00512BE3" w:rsidRDefault="00507720" w:rsidP="00863401">
      <w:pPr>
        <w:jc w:val="both"/>
        <w:rPr>
          <w:sz w:val="22"/>
          <w:szCs w:val="22"/>
          <w:lang w:eastAsia="en-US"/>
        </w:rPr>
      </w:pPr>
      <w:r w:rsidRPr="00512BE3">
        <w:rPr>
          <w:sz w:val="22"/>
          <w:szCs w:val="22"/>
          <w:lang w:eastAsia="en-US"/>
        </w:rPr>
        <w:t>U izvještajnom periodu u drugostepenom upravnom postupku zaprim</w:t>
      </w:r>
      <w:r w:rsidR="00586B9F" w:rsidRPr="00512BE3">
        <w:rPr>
          <w:sz w:val="22"/>
          <w:szCs w:val="22"/>
          <w:lang w:eastAsia="en-US"/>
        </w:rPr>
        <w:t>l</w:t>
      </w:r>
      <w:r w:rsidRPr="00512BE3">
        <w:rPr>
          <w:sz w:val="22"/>
          <w:szCs w:val="22"/>
          <w:lang w:eastAsia="en-US"/>
        </w:rPr>
        <w:t>jeno je</w:t>
      </w:r>
      <w:r w:rsidR="00C81BF0" w:rsidRPr="00512BE3">
        <w:rPr>
          <w:sz w:val="22"/>
          <w:szCs w:val="22"/>
          <w:lang w:eastAsia="en-US"/>
        </w:rPr>
        <w:t xml:space="preserve"> ukupno </w:t>
      </w:r>
      <w:r w:rsidR="00A24F13" w:rsidRPr="00512BE3">
        <w:rPr>
          <w:sz w:val="22"/>
          <w:szCs w:val="22"/>
          <w:lang w:eastAsia="en-US"/>
        </w:rPr>
        <w:t>491</w:t>
      </w:r>
      <w:r w:rsidR="003401FF" w:rsidRPr="00512BE3">
        <w:rPr>
          <w:sz w:val="22"/>
          <w:szCs w:val="22"/>
          <w:lang w:eastAsia="en-US"/>
        </w:rPr>
        <w:t xml:space="preserve"> </w:t>
      </w:r>
      <w:r w:rsidR="00A24F13" w:rsidRPr="00512BE3">
        <w:rPr>
          <w:sz w:val="22"/>
          <w:szCs w:val="22"/>
          <w:lang w:eastAsia="en-US"/>
        </w:rPr>
        <w:t>upravni predmet</w:t>
      </w:r>
      <w:r w:rsidR="00586B9F" w:rsidRPr="00512BE3">
        <w:rPr>
          <w:sz w:val="22"/>
          <w:szCs w:val="22"/>
          <w:lang w:eastAsia="en-US"/>
        </w:rPr>
        <w:t xml:space="preserve"> po žalbama izjavljenim na rješenja donesena u prvostepenom upravnom postupku. </w:t>
      </w:r>
      <w:r w:rsidR="003401FF" w:rsidRPr="00512BE3">
        <w:rPr>
          <w:sz w:val="22"/>
          <w:szCs w:val="22"/>
          <w:lang w:eastAsia="en-US"/>
        </w:rPr>
        <w:t xml:space="preserve">Osim zaprimljenih predmeta, iz prethodnog perioda prenijeto </w:t>
      </w:r>
      <w:r w:rsidR="00586B9F" w:rsidRPr="00512BE3">
        <w:rPr>
          <w:sz w:val="22"/>
          <w:szCs w:val="22"/>
          <w:lang w:eastAsia="en-US"/>
        </w:rPr>
        <w:t>je</w:t>
      </w:r>
      <w:r w:rsidR="00403B92" w:rsidRPr="00512BE3">
        <w:rPr>
          <w:sz w:val="22"/>
          <w:szCs w:val="22"/>
          <w:lang w:eastAsia="en-US"/>
        </w:rPr>
        <w:t xml:space="preserve"> </w:t>
      </w:r>
      <w:r w:rsidR="00A24F13" w:rsidRPr="00512BE3">
        <w:rPr>
          <w:sz w:val="22"/>
          <w:szCs w:val="22"/>
          <w:lang w:eastAsia="en-US"/>
        </w:rPr>
        <w:t>1.268</w:t>
      </w:r>
      <w:r w:rsidR="00403B92" w:rsidRPr="00512BE3">
        <w:rPr>
          <w:sz w:val="22"/>
          <w:szCs w:val="22"/>
          <w:lang w:eastAsia="en-US"/>
        </w:rPr>
        <w:t xml:space="preserve"> </w:t>
      </w:r>
      <w:r w:rsidR="00586B9F" w:rsidRPr="00512BE3">
        <w:rPr>
          <w:sz w:val="22"/>
          <w:szCs w:val="22"/>
          <w:lang w:eastAsia="en-US"/>
        </w:rPr>
        <w:t>upravnih predmeta, tako da je ukupan broj predmeta za rješavan</w:t>
      </w:r>
      <w:r w:rsidR="003401FF" w:rsidRPr="00512BE3">
        <w:rPr>
          <w:sz w:val="22"/>
          <w:szCs w:val="22"/>
          <w:lang w:eastAsia="en-US"/>
        </w:rPr>
        <w:t xml:space="preserve">je u </w:t>
      </w:r>
      <w:r w:rsidR="00403B92" w:rsidRPr="00512BE3">
        <w:rPr>
          <w:sz w:val="22"/>
          <w:szCs w:val="22"/>
          <w:lang w:eastAsia="en-US"/>
        </w:rPr>
        <w:t>20</w:t>
      </w:r>
      <w:r w:rsidR="00A24F13" w:rsidRPr="00512BE3">
        <w:rPr>
          <w:sz w:val="22"/>
          <w:szCs w:val="22"/>
          <w:lang w:eastAsia="en-US"/>
        </w:rPr>
        <w:t>22</w:t>
      </w:r>
      <w:r w:rsidR="003401FF" w:rsidRPr="00512BE3">
        <w:rPr>
          <w:sz w:val="22"/>
          <w:szCs w:val="22"/>
          <w:lang w:eastAsia="en-US"/>
        </w:rPr>
        <w:t xml:space="preserve">. godini </w:t>
      </w:r>
      <w:r w:rsidR="00403B92" w:rsidRPr="00512BE3">
        <w:rPr>
          <w:sz w:val="22"/>
          <w:szCs w:val="22"/>
          <w:lang w:eastAsia="en-US"/>
        </w:rPr>
        <w:t xml:space="preserve">iznosio </w:t>
      </w:r>
      <w:r w:rsidR="00A24F13" w:rsidRPr="00512BE3">
        <w:rPr>
          <w:sz w:val="22"/>
          <w:szCs w:val="22"/>
          <w:lang w:eastAsia="en-US"/>
        </w:rPr>
        <w:t>1.759</w:t>
      </w:r>
      <w:r w:rsidR="00586B9F" w:rsidRPr="00512BE3">
        <w:rPr>
          <w:sz w:val="22"/>
          <w:szCs w:val="22"/>
          <w:lang w:eastAsia="en-US"/>
        </w:rPr>
        <w:t xml:space="preserve"> predmeta. U izvještajnom periodu </w:t>
      </w:r>
      <w:r w:rsidRPr="00512BE3">
        <w:rPr>
          <w:sz w:val="22"/>
          <w:szCs w:val="22"/>
          <w:lang w:eastAsia="en-US"/>
        </w:rPr>
        <w:t>riješeno je</w:t>
      </w:r>
      <w:r w:rsidR="00C81BF0" w:rsidRPr="00512BE3">
        <w:rPr>
          <w:sz w:val="22"/>
          <w:szCs w:val="22"/>
          <w:lang w:eastAsia="en-US"/>
        </w:rPr>
        <w:t xml:space="preserve"> ukupno </w:t>
      </w:r>
      <w:r w:rsidR="00A24F13" w:rsidRPr="00512BE3">
        <w:rPr>
          <w:sz w:val="22"/>
          <w:szCs w:val="22"/>
          <w:lang w:eastAsia="en-US"/>
        </w:rPr>
        <w:t>1.416</w:t>
      </w:r>
      <w:r w:rsidR="00586B9F" w:rsidRPr="00512BE3">
        <w:rPr>
          <w:sz w:val="22"/>
          <w:szCs w:val="22"/>
          <w:lang w:eastAsia="en-US"/>
        </w:rPr>
        <w:t xml:space="preserve"> predmeta.</w:t>
      </w:r>
      <w:r w:rsidR="00E262AE" w:rsidRPr="00512BE3">
        <w:rPr>
          <w:sz w:val="22"/>
          <w:szCs w:val="22"/>
          <w:lang w:eastAsia="en-US"/>
        </w:rPr>
        <w:t xml:space="preserve"> </w:t>
      </w:r>
      <w:r w:rsidR="007E1C5F" w:rsidRPr="00512BE3">
        <w:rPr>
          <w:sz w:val="22"/>
          <w:szCs w:val="22"/>
          <w:lang w:val="en-GB" w:eastAsia="en-US"/>
        </w:rPr>
        <w:t>Pored navedenog, u izvještajnom periodu je pripremljeno</w:t>
      </w:r>
      <w:r w:rsidR="00C81BF0" w:rsidRPr="00512BE3">
        <w:rPr>
          <w:sz w:val="22"/>
          <w:szCs w:val="22"/>
          <w:lang w:eastAsia="en-US"/>
        </w:rPr>
        <w:t xml:space="preserve"> </w:t>
      </w:r>
      <w:r w:rsidR="00A24F13" w:rsidRPr="00512BE3">
        <w:rPr>
          <w:sz w:val="22"/>
          <w:szCs w:val="22"/>
          <w:lang w:eastAsia="en-US"/>
        </w:rPr>
        <w:t>603</w:t>
      </w:r>
      <w:r w:rsidR="007E1C5F" w:rsidRPr="00512BE3">
        <w:rPr>
          <w:sz w:val="22"/>
          <w:szCs w:val="22"/>
          <w:lang w:eastAsia="en-US"/>
        </w:rPr>
        <w:t xml:space="preserve"> odgovora na tužbu povodom pokrenutih upravnih sporova kod </w:t>
      </w:r>
      <w:r w:rsidR="00AB1525" w:rsidRPr="00512BE3">
        <w:rPr>
          <w:sz w:val="22"/>
          <w:szCs w:val="22"/>
          <w:lang w:eastAsia="en-US"/>
        </w:rPr>
        <w:t xml:space="preserve">nadležnih sudova, </w:t>
      </w:r>
      <w:r w:rsidR="00A24F13" w:rsidRPr="00512BE3">
        <w:rPr>
          <w:sz w:val="22"/>
          <w:szCs w:val="22"/>
          <w:lang w:eastAsia="en-US"/>
        </w:rPr>
        <w:t>56</w:t>
      </w:r>
      <w:r w:rsidR="007E1C5F" w:rsidRPr="00512BE3">
        <w:rPr>
          <w:sz w:val="22"/>
          <w:szCs w:val="22"/>
          <w:lang w:eastAsia="en-US"/>
        </w:rPr>
        <w:t xml:space="preserve"> odgovora na zahtjev za</w:t>
      </w:r>
      <w:r w:rsidR="00AB1525" w:rsidRPr="00512BE3">
        <w:rPr>
          <w:sz w:val="22"/>
          <w:szCs w:val="22"/>
          <w:lang w:eastAsia="en-US"/>
        </w:rPr>
        <w:t xml:space="preserve"> preispitivanje sudske odluke, te </w:t>
      </w:r>
      <w:r w:rsidR="00A24F13" w:rsidRPr="00512BE3">
        <w:rPr>
          <w:sz w:val="22"/>
          <w:szCs w:val="22"/>
          <w:lang w:eastAsia="en-US"/>
        </w:rPr>
        <w:t>dva</w:t>
      </w:r>
      <w:r w:rsidR="007E1C5F" w:rsidRPr="00512BE3">
        <w:rPr>
          <w:sz w:val="22"/>
          <w:szCs w:val="22"/>
          <w:lang w:eastAsia="en-US"/>
        </w:rPr>
        <w:t xml:space="preserve"> odgovora na navode iz apelacije</w:t>
      </w:r>
      <w:r w:rsidR="00C81BF0" w:rsidRPr="00512BE3">
        <w:rPr>
          <w:sz w:val="22"/>
          <w:szCs w:val="22"/>
          <w:lang w:eastAsia="en-US"/>
        </w:rPr>
        <w:t xml:space="preserve"> Ustavnog suda BiH</w:t>
      </w:r>
      <w:r w:rsidR="007E1C5F" w:rsidRPr="00512BE3">
        <w:rPr>
          <w:sz w:val="22"/>
          <w:szCs w:val="22"/>
          <w:lang w:eastAsia="en-US"/>
        </w:rPr>
        <w:t>.</w:t>
      </w:r>
    </w:p>
    <w:p w14:paraId="2EC845F1" w14:textId="5320BE4D" w:rsidR="00BF4D53" w:rsidRPr="00512BE3" w:rsidRDefault="00BF4D53" w:rsidP="00863401">
      <w:pPr>
        <w:jc w:val="both"/>
        <w:rPr>
          <w:rFonts w:eastAsia="Calibri"/>
          <w:sz w:val="22"/>
          <w:szCs w:val="22"/>
          <w:lang w:eastAsia="en-US"/>
        </w:rPr>
      </w:pPr>
      <w:r w:rsidRPr="00512BE3">
        <w:rPr>
          <w:rFonts w:eastAsia="Calibri"/>
          <w:sz w:val="22"/>
          <w:szCs w:val="22"/>
          <w:lang w:eastAsia="en-US"/>
        </w:rPr>
        <w:t xml:space="preserve">U izvještajnom periodu urađeno je i Sudu BiH dostavljen jedan odgovor na tužbu, vrijednost spora </w:t>
      </w:r>
      <w:r w:rsidR="00863401">
        <w:rPr>
          <w:rFonts w:eastAsia="Calibri"/>
          <w:sz w:val="22"/>
          <w:szCs w:val="22"/>
          <w:lang w:eastAsia="en-US"/>
        </w:rPr>
        <w:t>1.253,92 KM i pet izjašnjenja</w:t>
      </w:r>
      <w:r w:rsidRPr="00512BE3">
        <w:rPr>
          <w:rFonts w:eastAsia="Calibri"/>
          <w:sz w:val="22"/>
          <w:szCs w:val="22"/>
          <w:lang w:eastAsia="en-US"/>
        </w:rPr>
        <w:t xml:space="preserve"> na podneske prvotuženog. Takođe je </w:t>
      </w:r>
      <w:r w:rsidR="00863401">
        <w:rPr>
          <w:rFonts w:eastAsia="Calibri"/>
          <w:sz w:val="22"/>
          <w:szCs w:val="22"/>
          <w:lang w:eastAsia="en-US"/>
        </w:rPr>
        <w:t xml:space="preserve">u </w:t>
      </w:r>
      <w:r w:rsidRPr="00512BE3">
        <w:rPr>
          <w:rFonts w:eastAsia="Calibri"/>
          <w:sz w:val="22"/>
          <w:szCs w:val="22"/>
          <w:lang w:eastAsia="en-US"/>
        </w:rPr>
        <w:t>izvještajnom periodu sačinjeno i Pravobranilaštvu BiH dostavljeno: dvadeset jedno</w:t>
      </w:r>
      <w:r w:rsidR="005678A5">
        <w:rPr>
          <w:rFonts w:eastAsia="Calibri"/>
          <w:sz w:val="22"/>
          <w:szCs w:val="22"/>
          <w:lang w:eastAsia="en-US"/>
        </w:rPr>
        <w:t xml:space="preserve"> </w:t>
      </w:r>
      <w:r w:rsidRPr="00512BE3">
        <w:rPr>
          <w:rFonts w:eastAsia="Calibri"/>
          <w:sz w:val="22"/>
          <w:szCs w:val="22"/>
          <w:lang w:eastAsia="en-US"/>
        </w:rPr>
        <w:t>izjašnjenje na tužbe,</w:t>
      </w:r>
      <w:r w:rsidR="005678A5">
        <w:rPr>
          <w:rFonts w:eastAsia="Calibri"/>
          <w:sz w:val="22"/>
          <w:szCs w:val="22"/>
          <w:lang w:eastAsia="en-US"/>
        </w:rPr>
        <w:t xml:space="preserve"> </w:t>
      </w:r>
      <w:r w:rsidRPr="00512BE3">
        <w:rPr>
          <w:rFonts w:eastAsia="Calibri"/>
          <w:sz w:val="22"/>
          <w:szCs w:val="22"/>
          <w:lang w:eastAsia="en-US"/>
        </w:rPr>
        <w:t>vrijednost spora 1.928.861,40 KM, dvije dopune izjašnjenja na tužbu, jedno izjašnjenje na uređenu tužbu, dvije inicijative za pokretanje parničnog postupka, šesnaest izjašnjenja na nalaz i mišljenje vještaka, četiri izjašnjenja na na zapisnik o pripremnom ročištu, tri  izjašnjenja na zapisnik sa glavne rasprave, osam izjašnjenja o potrebi ulaganja žalbe, jedno izjašnjenje o potrebi ulaganja revizije, jedno izjašnjenje o potrebi ulaganja apelacije, devet podnesaka na izjašnjenje tužioca, dva  izjašnjenja na podnesak tuženog i dvije inicijative za unapređenje prakse rada.</w:t>
      </w:r>
    </w:p>
    <w:p w14:paraId="02D2E9AF" w14:textId="24A36FEE" w:rsidR="001863EB" w:rsidRPr="00512BE3" w:rsidRDefault="008D4199" w:rsidP="00863401">
      <w:pPr>
        <w:jc w:val="both"/>
        <w:rPr>
          <w:rFonts w:eastAsia="Calibri"/>
          <w:sz w:val="22"/>
          <w:szCs w:val="22"/>
          <w:lang w:val="sr-Latn-CS" w:eastAsia="sr-Latn-CS"/>
        </w:rPr>
      </w:pPr>
      <w:r w:rsidRPr="00512BE3">
        <w:rPr>
          <w:rFonts w:eastAsia="Calibri"/>
          <w:sz w:val="22"/>
          <w:szCs w:val="22"/>
          <w:lang w:val="bs-Latn-BA" w:eastAsia="sr-Latn-CS"/>
        </w:rPr>
        <w:t xml:space="preserve">U izvještajnom periodu </w:t>
      </w:r>
      <w:r w:rsidR="00C1441D" w:rsidRPr="00512BE3">
        <w:rPr>
          <w:rFonts w:eastAsia="Calibri"/>
          <w:sz w:val="22"/>
          <w:szCs w:val="22"/>
          <w:lang w:val="bs-Latn-BA" w:eastAsia="sr-Latn-CS"/>
        </w:rPr>
        <w:t xml:space="preserve">je zaprimljeno </w:t>
      </w:r>
      <w:r w:rsidR="00A24F13" w:rsidRPr="00512BE3">
        <w:rPr>
          <w:rFonts w:eastAsia="Calibri"/>
          <w:sz w:val="22"/>
          <w:szCs w:val="22"/>
          <w:lang w:val="bs-Latn-BA" w:eastAsia="sr-Latn-CS"/>
        </w:rPr>
        <w:t>206</w:t>
      </w:r>
      <w:r w:rsidR="00C1441D" w:rsidRPr="00512BE3">
        <w:rPr>
          <w:rFonts w:eastAsia="Calibri"/>
          <w:sz w:val="22"/>
          <w:szCs w:val="22"/>
          <w:lang w:val="bs-Latn-BA" w:eastAsia="sr-Latn-CS"/>
        </w:rPr>
        <w:t xml:space="preserve"> zahtjeva </w:t>
      </w:r>
      <w:r w:rsidR="00507720" w:rsidRPr="00512BE3">
        <w:rPr>
          <w:rFonts w:eastAsia="Calibri"/>
          <w:sz w:val="22"/>
          <w:szCs w:val="22"/>
          <w:lang w:val="bs-Latn-BA" w:eastAsia="sr-Latn-CS"/>
        </w:rPr>
        <w:t>za izdavanje obavezuju</w:t>
      </w:r>
      <w:r w:rsidR="00CD5C84" w:rsidRPr="00512BE3">
        <w:rPr>
          <w:rFonts w:eastAsia="Calibri"/>
          <w:sz w:val="22"/>
          <w:szCs w:val="22"/>
          <w:lang w:val="bs-Latn-BA" w:eastAsia="sr-Latn-CS"/>
        </w:rPr>
        <w:t>ć</w:t>
      </w:r>
      <w:r w:rsidR="00507720" w:rsidRPr="00512BE3">
        <w:rPr>
          <w:rFonts w:eastAsia="Calibri"/>
          <w:sz w:val="22"/>
          <w:szCs w:val="22"/>
          <w:lang w:val="bs-Latn-BA" w:eastAsia="sr-Latn-CS"/>
        </w:rPr>
        <w:t xml:space="preserve">eg mišljenja </w:t>
      </w:r>
      <w:r w:rsidR="00C1441D" w:rsidRPr="00512BE3">
        <w:rPr>
          <w:rFonts w:eastAsia="Calibri"/>
          <w:sz w:val="22"/>
          <w:szCs w:val="22"/>
          <w:lang w:val="bs-Latn-BA" w:eastAsia="sr-Latn-CS"/>
        </w:rPr>
        <w:t>iz oblasti indirektnih poreza</w:t>
      </w:r>
      <w:r w:rsidR="00507720" w:rsidRPr="00512BE3">
        <w:rPr>
          <w:rFonts w:eastAsia="Calibri"/>
          <w:sz w:val="22"/>
          <w:szCs w:val="22"/>
          <w:lang w:val="bs-Latn-BA" w:eastAsia="sr-Latn-CS"/>
        </w:rPr>
        <w:t xml:space="preserve"> i sačinjeno </w:t>
      </w:r>
      <w:r w:rsidR="00C1441D" w:rsidRPr="00512BE3">
        <w:rPr>
          <w:rFonts w:eastAsia="Calibri"/>
          <w:sz w:val="22"/>
          <w:szCs w:val="22"/>
          <w:lang w:val="bs-Latn-BA" w:eastAsia="sr-Latn-CS"/>
        </w:rPr>
        <w:t xml:space="preserve">je </w:t>
      </w:r>
      <w:r w:rsidR="00A24F13" w:rsidRPr="00512BE3">
        <w:rPr>
          <w:rFonts w:eastAsia="Calibri"/>
          <w:sz w:val="22"/>
          <w:szCs w:val="22"/>
          <w:lang w:val="bs-Latn-BA" w:eastAsia="sr-Latn-CS"/>
        </w:rPr>
        <w:t>97</w:t>
      </w:r>
      <w:r w:rsidR="004C3BA9" w:rsidRPr="00512BE3">
        <w:rPr>
          <w:rFonts w:eastAsia="Calibri"/>
          <w:sz w:val="22"/>
          <w:szCs w:val="22"/>
          <w:lang w:val="bs-Latn-BA" w:eastAsia="sr-Latn-CS"/>
        </w:rPr>
        <w:t xml:space="preserve"> obavezujućih</w:t>
      </w:r>
      <w:r w:rsidR="00C1441D" w:rsidRPr="00512BE3">
        <w:rPr>
          <w:rFonts w:eastAsia="Calibri"/>
          <w:sz w:val="22"/>
          <w:szCs w:val="22"/>
          <w:lang w:val="bs-Latn-BA" w:eastAsia="sr-Latn-CS"/>
        </w:rPr>
        <w:t xml:space="preserve"> mišljenja iz oblasti indirektnih poreza, </w:t>
      </w:r>
      <w:r w:rsidR="00A24F13" w:rsidRPr="00512BE3">
        <w:rPr>
          <w:rFonts w:eastAsia="Calibri"/>
          <w:sz w:val="22"/>
          <w:szCs w:val="22"/>
          <w:lang w:val="bs-Latn-BA" w:eastAsia="sr-Latn-CS"/>
        </w:rPr>
        <w:t>73</w:t>
      </w:r>
      <w:r w:rsidR="00C1441D" w:rsidRPr="00512BE3">
        <w:rPr>
          <w:rFonts w:eastAsia="Calibri"/>
          <w:sz w:val="22"/>
          <w:szCs w:val="22"/>
          <w:lang w:val="bs-Latn-BA" w:eastAsia="sr-Latn-CS"/>
        </w:rPr>
        <w:t xml:space="preserve"> obavještenja o nerazmatranju jer nisu bili ispunjeni uslovi za izradu mišljenja</w:t>
      </w:r>
      <w:r w:rsidR="00512A34" w:rsidRPr="00512BE3">
        <w:rPr>
          <w:rFonts w:eastAsia="Calibri"/>
          <w:sz w:val="22"/>
          <w:szCs w:val="22"/>
          <w:lang w:val="bs-Latn-BA" w:eastAsia="sr-Latn-CS"/>
        </w:rPr>
        <w:t>,</w:t>
      </w:r>
      <w:r w:rsidR="00C1441D" w:rsidRPr="00512BE3">
        <w:rPr>
          <w:rFonts w:eastAsia="Calibri"/>
          <w:sz w:val="22"/>
          <w:szCs w:val="22"/>
          <w:lang w:val="bs-Latn-BA" w:eastAsia="sr-Latn-CS"/>
        </w:rPr>
        <w:t xml:space="preserve"> te je </w:t>
      </w:r>
      <w:r w:rsidR="00BF4D53" w:rsidRPr="00512BE3">
        <w:rPr>
          <w:rFonts w:eastAsia="Calibri"/>
          <w:sz w:val="22"/>
          <w:szCs w:val="22"/>
          <w:lang w:val="bs-Latn-BA" w:eastAsia="sr-Latn-CS"/>
        </w:rPr>
        <w:t>26</w:t>
      </w:r>
      <w:r w:rsidR="00C1441D" w:rsidRPr="00512BE3">
        <w:rPr>
          <w:rFonts w:eastAsia="Calibri"/>
          <w:sz w:val="22"/>
          <w:szCs w:val="22"/>
          <w:lang w:val="bs-Latn-BA" w:eastAsia="sr-Latn-CS"/>
        </w:rPr>
        <w:t xml:space="preserve"> zahtjeva proslijeđeno u druge organizacione jedin</w:t>
      </w:r>
      <w:r w:rsidR="004C3BA9" w:rsidRPr="00512BE3">
        <w:rPr>
          <w:rFonts w:eastAsia="Calibri"/>
          <w:sz w:val="22"/>
          <w:szCs w:val="22"/>
          <w:lang w:val="bs-Latn-BA" w:eastAsia="sr-Latn-CS"/>
        </w:rPr>
        <w:t xml:space="preserve">ice UIO na nadležno postupanje, a </w:t>
      </w:r>
      <w:r w:rsidRPr="00512BE3">
        <w:rPr>
          <w:rFonts w:eastAsia="Calibri"/>
          <w:sz w:val="22"/>
          <w:szCs w:val="22"/>
          <w:lang w:val="bs-Latn-BA" w:eastAsia="sr-Latn-CS"/>
        </w:rPr>
        <w:t>1</w:t>
      </w:r>
      <w:r w:rsidR="00BF4D53" w:rsidRPr="00512BE3">
        <w:rPr>
          <w:rFonts w:eastAsia="Calibri"/>
          <w:sz w:val="22"/>
          <w:szCs w:val="22"/>
          <w:lang w:val="bs-Latn-BA" w:eastAsia="sr-Latn-CS"/>
        </w:rPr>
        <w:t>0</w:t>
      </w:r>
      <w:r w:rsidR="004C3BA9" w:rsidRPr="00512BE3">
        <w:rPr>
          <w:rFonts w:eastAsia="Calibri"/>
          <w:sz w:val="22"/>
          <w:szCs w:val="22"/>
          <w:lang w:val="bs-Latn-BA" w:eastAsia="sr-Latn-CS"/>
        </w:rPr>
        <w:t xml:space="preserve"> zahtjeva se nalaze u radu.</w:t>
      </w:r>
      <w:r w:rsidR="000F08B9" w:rsidRPr="00512BE3">
        <w:rPr>
          <w:rFonts w:eastAsia="Calibri"/>
          <w:sz w:val="22"/>
          <w:szCs w:val="22"/>
          <w:lang w:val="bs-Latn-BA" w:eastAsia="sr-Latn-CS"/>
        </w:rPr>
        <w:t xml:space="preserve"> </w:t>
      </w:r>
      <w:r w:rsidR="00F15193" w:rsidRPr="00512BE3">
        <w:rPr>
          <w:rFonts w:eastAsia="Calibri"/>
          <w:sz w:val="22"/>
          <w:szCs w:val="22"/>
          <w:lang w:val="sr-Latn-RS" w:eastAsia="sr-Latn-CS"/>
        </w:rPr>
        <w:t>Pored toga</w:t>
      </w:r>
      <w:r w:rsidR="00C1441D" w:rsidRPr="00512BE3">
        <w:rPr>
          <w:rFonts w:eastAsia="Calibri"/>
          <w:sz w:val="22"/>
          <w:szCs w:val="22"/>
          <w:lang w:val="sr-Latn-RS" w:eastAsia="sr-Latn-CS"/>
        </w:rPr>
        <w:t xml:space="preserve">, </w:t>
      </w:r>
      <w:r w:rsidR="00860A1A" w:rsidRPr="00512BE3">
        <w:rPr>
          <w:rFonts w:eastAsia="Calibri"/>
          <w:sz w:val="22"/>
          <w:szCs w:val="22"/>
          <w:lang w:val="sr-Latn-CS" w:eastAsia="sr-Latn-CS"/>
        </w:rPr>
        <w:t xml:space="preserve">sačinjeno je </w:t>
      </w:r>
      <w:r w:rsidR="00A24F13" w:rsidRPr="00512BE3">
        <w:rPr>
          <w:rFonts w:eastAsia="Calibri"/>
          <w:sz w:val="22"/>
          <w:szCs w:val="22"/>
          <w:lang w:val="sr-Latn-CS" w:eastAsia="sr-Latn-CS"/>
        </w:rPr>
        <w:t>174 akta redovne korespodencije, te 13 akata koji se odnose na postupanje po pitanjima iz oblasti prekršajnih postupaka.</w:t>
      </w:r>
    </w:p>
    <w:p w14:paraId="4CAB7FC3" w14:textId="77777777" w:rsidR="0095417A" w:rsidRPr="00512BE3" w:rsidRDefault="0095417A" w:rsidP="0095417A">
      <w:pPr>
        <w:ind w:firstLine="709"/>
        <w:jc w:val="both"/>
        <w:rPr>
          <w:rFonts w:eastAsia="Calibri"/>
          <w:sz w:val="22"/>
          <w:szCs w:val="22"/>
          <w:lang w:eastAsia="en-US"/>
        </w:rPr>
      </w:pPr>
    </w:p>
    <w:p w14:paraId="705B84A3" w14:textId="77777777" w:rsidR="006D4FAB" w:rsidRPr="00512BE3" w:rsidRDefault="00FD7CC0" w:rsidP="00DB4D71">
      <w:pPr>
        <w:pStyle w:val="Heading1"/>
        <w:spacing w:before="0" w:after="200"/>
        <w:ind w:left="284" w:hanging="284"/>
        <w:rPr>
          <w:rFonts w:eastAsia="Calibri"/>
          <w:lang w:val="sr-Latn-BA" w:eastAsia="en-US"/>
        </w:rPr>
      </w:pPr>
      <w:bookmarkStart w:id="39" w:name="_Toc95294160"/>
      <w:r w:rsidRPr="00512BE3">
        <w:rPr>
          <w:rFonts w:eastAsia="Calibri"/>
          <w:lang w:val="sr-Latn-BA" w:eastAsia="en-US"/>
        </w:rPr>
        <w:t>INFORMACIONE TEHNOLOGIJE</w:t>
      </w:r>
      <w:bookmarkEnd w:id="39"/>
    </w:p>
    <w:p w14:paraId="1AC182BA" w14:textId="77777777" w:rsidR="006C69CF" w:rsidRPr="00512BE3" w:rsidRDefault="006C69CF" w:rsidP="00863401">
      <w:pPr>
        <w:jc w:val="both"/>
        <w:rPr>
          <w:sz w:val="22"/>
          <w:szCs w:val="22"/>
          <w:lang w:val="sr-Latn-BA"/>
        </w:rPr>
      </w:pPr>
      <w:r w:rsidRPr="00512BE3">
        <w:rPr>
          <w:sz w:val="22"/>
          <w:szCs w:val="22"/>
          <w:lang w:val="sr-Latn-BA"/>
        </w:rPr>
        <w:t>Z</w:t>
      </w:r>
      <w:r w:rsidR="00022DDA" w:rsidRPr="00512BE3">
        <w:rPr>
          <w:sz w:val="22"/>
          <w:szCs w:val="22"/>
          <w:lang w:val="sr-Cyrl-BA"/>
        </w:rPr>
        <w:t xml:space="preserve">aposlenici Sektora za informacione tehnologije su kontinuirano pružali tehničku podršku u organizaciji mnogobrojnih sastanaka, seminara, radionica i obuka za zaposlenike Uprave koji su se održavali </w:t>
      </w:r>
      <w:r w:rsidR="00022DDA" w:rsidRPr="00512BE3">
        <w:rPr>
          <w:sz w:val="22"/>
          <w:szCs w:val="22"/>
        </w:rPr>
        <w:t xml:space="preserve">on-line </w:t>
      </w:r>
      <w:r w:rsidR="00022DDA" w:rsidRPr="00512BE3">
        <w:rPr>
          <w:sz w:val="22"/>
          <w:szCs w:val="22"/>
          <w:lang w:val="sr-Cyrl-RS"/>
        </w:rPr>
        <w:t xml:space="preserve">putem video linka i najzastupljenijih aplikacija za kolaboraciju putem mreže, kao što su </w:t>
      </w:r>
      <w:r w:rsidR="00022DDA" w:rsidRPr="00512BE3">
        <w:rPr>
          <w:sz w:val="22"/>
          <w:szCs w:val="22"/>
        </w:rPr>
        <w:t xml:space="preserve">Microsoft Teams, Cisco WebEx, Zoom </w:t>
      </w:r>
      <w:r w:rsidR="00022DDA" w:rsidRPr="00512BE3">
        <w:rPr>
          <w:sz w:val="22"/>
          <w:szCs w:val="22"/>
          <w:lang w:val="sr-Cyrl-RS"/>
        </w:rPr>
        <w:t>i slično.</w:t>
      </w:r>
      <w:r w:rsidRPr="00512BE3">
        <w:rPr>
          <w:sz w:val="22"/>
          <w:szCs w:val="22"/>
          <w:lang w:val="sr-Latn-BA"/>
        </w:rPr>
        <w:t xml:space="preserve"> </w:t>
      </w:r>
    </w:p>
    <w:p w14:paraId="0071C2A3" w14:textId="14DA6E2D" w:rsidR="006C69CF" w:rsidRPr="00512BE3" w:rsidRDefault="006C69CF" w:rsidP="006C69CF">
      <w:pPr>
        <w:ind w:firstLine="284"/>
        <w:jc w:val="both"/>
        <w:rPr>
          <w:sz w:val="22"/>
          <w:szCs w:val="22"/>
          <w:lang w:val="sr-Cyrl-RS"/>
        </w:rPr>
      </w:pPr>
      <w:r w:rsidRPr="00512BE3">
        <w:rPr>
          <w:sz w:val="22"/>
          <w:szCs w:val="22"/>
        </w:rPr>
        <w:t>Vršena je saradnja sa predstavnicima odabranog dobavljača radi isporuke donacije opreme od strane Delegacije EU vezano za projekat „Supply of laboratory information management system and related IT equipment for Indirect Taxation Authority of Bosnia and Herzegovina“. Takođe, pored svih gore pobrojanih aktivnosti, uspješno je zamijenjeno preko petsto postojećih dotrajalih računara novim računarima doniranim od strane Delegacije EU u Glavnoj kancelariji, regionalnim centrima, carinskim ispostavama i graničnim prelazima, pri čemu se posebno ističe činjenica da prilikom procesa zamjene i prebacivanja korisničkih podataka nije dolazilo do prekida poslovnih procesa i aktivnosti na strani korisnika IS UIO.</w:t>
      </w:r>
    </w:p>
    <w:p w14:paraId="0DDEB59C" w14:textId="1F91EA8F" w:rsidR="006C69CF" w:rsidRPr="00512BE3" w:rsidRDefault="006C69CF" w:rsidP="006C69CF">
      <w:pPr>
        <w:jc w:val="both"/>
        <w:rPr>
          <w:sz w:val="22"/>
          <w:szCs w:val="22"/>
          <w:lang w:val="sr-Cyrl-CS"/>
        </w:rPr>
      </w:pPr>
      <w:r w:rsidRPr="00512BE3">
        <w:rPr>
          <w:sz w:val="22"/>
          <w:szCs w:val="22"/>
          <w:lang w:val="sr-Cyrl-CS"/>
        </w:rPr>
        <w:t xml:space="preserve">U izvještajnom periodu odvijale su se aktivnosti u cilju obezbjeđivanja, konfiguracije i instalacije informaciono-komunikacione infrastrukture u Glavnoj kancelariji, a u cilju blagovremenog funkcionisanja testne i produkcione platforme za implementaciju projekta NCTS faza 5. Izvršene su specijalističke obuke za korištenje NCTS aplikacije za carinske službenike od strane zaposlenih iz Sektora za IT, u saradnji sa Sektorom za carine. Objavljena je tehnička dokumentacija za korištenje u okviru NCTS faza 5 kao što su to nacionalni zahtjevi, NCTS šifarnici koji se koriste na nacionalnom nivou kao i objašnjenje o testiranju kompatibilnosti aplikacija privrednika za obradu provoznih prijava u NCTS. Izvršeno je testiranje aplikacije YoUCC, a koja je prva komercijalna aplikacija koju će privrednici moći koristiti u okviru NCTS UIO. Dana 01.08.2022.godine otpočela je implementacija NCTS faza 5 na nacionalnom nivou, obezbjeđeno je nesmetano funkcionisanje procedure tranzita i nisu zabilježeni zastoji u radu. Takođe, carinskim službenicima i eksternim korisnicima NCTS aplikacije obezbjeđena je i pravovremena korisnička podrška.  </w:t>
      </w:r>
    </w:p>
    <w:p w14:paraId="32D149A9" w14:textId="0DAB7D8C" w:rsidR="006C69CF" w:rsidRPr="00512BE3" w:rsidRDefault="006C69CF" w:rsidP="006C69CF">
      <w:pPr>
        <w:jc w:val="both"/>
        <w:rPr>
          <w:sz w:val="22"/>
          <w:szCs w:val="22"/>
          <w:lang w:val="sr-Cyrl-CS"/>
        </w:rPr>
      </w:pPr>
      <w:r w:rsidRPr="00512BE3">
        <w:rPr>
          <w:sz w:val="22"/>
          <w:szCs w:val="22"/>
          <w:lang w:val="sr-Cyrl-CS"/>
        </w:rPr>
        <w:tab/>
        <w:t>U toku izvještajnog perioda, u saradnji sa izvođačem projekta, pripremljena je kompletna informaciona infrastruktura i u rad je uspješno pušten novi sajt Uprave.</w:t>
      </w:r>
      <w:r w:rsidRPr="00512BE3">
        <w:rPr>
          <w:sz w:val="22"/>
          <w:szCs w:val="22"/>
          <w:lang w:val="sr-Latn-BA"/>
        </w:rPr>
        <w:t xml:space="preserve"> </w:t>
      </w:r>
      <w:r w:rsidRPr="00512BE3">
        <w:rPr>
          <w:sz w:val="22"/>
          <w:szCs w:val="22"/>
          <w:lang w:val="sr-Cyrl-CS"/>
        </w:rPr>
        <w:t>Istovremeno, Uprava je u predmetnom periodu nastavila sa izdavanjem kvalifikovanih elektronskih potvrda poslovnoj zajednici, prije svega zastupnicima u carinskom postupku. Proces podnošenja zahtjeva i izdavanja Smart Card paketa se neometano odvijao u svim regionalnim centrima. Krajem 2022. godine je, nakon uspostavljanja svih neophodnih tehničkih uslova, izvršeno puštanje u produkciju servesa za razmjenu XML poruka o prenosu gotovine između UIO i Finansijsko-obavještajnog odjeljenja (Državana agencija za istrage i zaštitu).</w:t>
      </w:r>
    </w:p>
    <w:p w14:paraId="2203ACEA" w14:textId="77777777" w:rsidR="006C69CF" w:rsidRPr="00512BE3" w:rsidRDefault="006C69CF" w:rsidP="006C69CF">
      <w:pPr>
        <w:jc w:val="both"/>
        <w:rPr>
          <w:sz w:val="22"/>
          <w:szCs w:val="22"/>
          <w:lang w:val="sr-Cyrl-CS"/>
        </w:rPr>
      </w:pPr>
      <w:r w:rsidRPr="00512BE3">
        <w:rPr>
          <w:sz w:val="22"/>
          <w:szCs w:val="22"/>
          <w:lang w:val="sr-Cyrl-CS"/>
        </w:rPr>
        <w:lastRenderedPageBreak/>
        <w:t>Takođe, uneseni su podaci koji se odnose na novousvojene tarifne kvote za 2022. godinu, a izvršena su i prilagođavanja poslovnih pravila za obračun dažbina. Carinski informacioni podsistem je pripremljen za primjenu Odluke o privremenoj suspenziji i privremenom smanjenju carinskih stopa pri uvozu novih električnih i hibridnih automobila do 31.12.2022. godine i  Odluke o privremenoj zabrani izvoza određenih šumskih drvnih sortimenata i proizvoda od drveta. Takođe, u okviru carinskog informacionog podsistema izvršena su podešavanja i programiranje poslovnih pravila za primjenu Uputstva o postupku kućnog uvoznog carinjenja i Uputstva o postupku kućnog izvoznog carinjenja.</w:t>
      </w:r>
    </w:p>
    <w:p w14:paraId="7D3436B2" w14:textId="020D62A8" w:rsidR="006C69CF" w:rsidRPr="00512BE3" w:rsidRDefault="006C69CF" w:rsidP="006C69CF">
      <w:pPr>
        <w:jc w:val="both"/>
        <w:rPr>
          <w:sz w:val="22"/>
          <w:szCs w:val="22"/>
          <w:lang w:val="sr-Cyrl-CS"/>
        </w:rPr>
      </w:pPr>
      <w:r w:rsidRPr="00512BE3">
        <w:rPr>
          <w:sz w:val="22"/>
          <w:szCs w:val="22"/>
          <w:lang w:val="sr-Cyrl-CS"/>
        </w:rPr>
        <w:t>Izrađena je tenderska dokumentacija, pokrenuta inicijativa za pokretanje postupka javnih nabavki za: vršenje usluge održavanja carinskog softvera u carinskom podsistemu IS UIO, vršenje usluge održavanja poreskog softvera u poreskom podsistemu IS UIO, nabavku serverskih Windows i ostalih licenci, vršenje usluge osiguranja od odgovornosti za nastalu štetu u slučaju izdavanja i upotrebe kvalifikovanih digitalnih potvrda, nabavku štampača za SmartCard kartice, nabavku SmartCard paketa, nabavku komunikacijske opreme (svičevi, fajervoli, ruteri i sl.), nadogradnja i održavanje sistema video nadzora UIO, vršenje usluge zakupa vodova za potrebe Informacionog sistema UIO, vršenje usluge pristupa internet mreži  iz Informacionog sistema UIO kao i obnovu licenci i održavanja za softvere.</w:t>
      </w:r>
    </w:p>
    <w:p w14:paraId="1D44408D" w14:textId="124688F8" w:rsidR="006C69CF" w:rsidRPr="00512BE3" w:rsidRDefault="006C69CF" w:rsidP="006C69CF">
      <w:pPr>
        <w:jc w:val="both"/>
        <w:rPr>
          <w:sz w:val="22"/>
          <w:szCs w:val="22"/>
          <w:lang w:val="sr-Cyrl-CS"/>
        </w:rPr>
      </w:pPr>
      <w:r w:rsidRPr="00512BE3">
        <w:rPr>
          <w:sz w:val="22"/>
          <w:szCs w:val="22"/>
          <w:lang w:val="sr-Cyrl-CS"/>
        </w:rPr>
        <w:t>U projektu Softver za elektronsko upravljanje dokumentima za potrebe UIO (DMS Faza III), nastavljena je saradnja sa izvođačem projekta i funkcionalnim timom UIO, kontinuirano je vršena nadogradnja postojećih funkcionalnosti za one module koje su zahtijevali dodatno prilagođavanje poslovnim procesima UIO i korisničkim zahtjevima, kao i uvođenje DMS-a u unutrašnje organizacione jedinice UIO.</w:t>
      </w:r>
      <w:r w:rsidRPr="00512BE3">
        <w:rPr>
          <w:sz w:val="22"/>
          <w:szCs w:val="22"/>
          <w:lang w:val="sr-Latn-BA"/>
        </w:rPr>
        <w:t xml:space="preserve"> Takođe n</w:t>
      </w:r>
      <w:r w:rsidRPr="00512BE3">
        <w:rPr>
          <w:sz w:val="22"/>
          <w:szCs w:val="22"/>
          <w:lang w:val="sr-Cyrl-CS"/>
        </w:rPr>
        <w:t>astavljene su i aktivnosti oko unapređenja IKT infrastrukture, instalacije i konfiguracije servera, komunikacione opreme, podizanja virtuelne infrastrukture.</w:t>
      </w:r>
    </w:p>
    <w:p w14:paraId="0D1CC6EE" w14:textId="0DFF7BFD" w:rsidR="006C69CF" w:rsidRPr="00512BE3" w:rsidRDefault="00022DDA" w:rsidP="006C69CF">
      <w:pPr>
        <w:jc w:val="both"/>
        <w:rPr>
          <w:sz w:val="22"/>
          <w:szCs w:val="22"/>
        </w:rPr>
      </w:pPr>
      <w:r w:rsidRPr="00512BE3">
        <w:rPr>
          <w:sz w:val="22"/>
          <w:szCs w:val="22"/>
          <w:lang w:val="sr-Cyrl-CS"/>
        </w:rPr>
        <w:t>Vršeno je kreiranje novih VPN pristupa i izdavanje kartica za službenike UIO za potrebe razmjene podataka i VPN pristupa informacionom sistemu UIO po zahtjevu eksternih korisnika.</w:t>
      </w:r>
      <w:r w:rsidR="00F474C3" w:rsidRPr="00512BE3">
        <w:rPr>
          <w:sz w:val="22"/>
          <w:szCs w:val="22"/>
        </w:rPr>
        <w:t xml:space="preserve"> Takođe, u izvještajnom periodu predstavnici Sektora za IT aktivno su učestvovali u radu Komisije za izradu Pravilnika o izdavanju kvalifikovanog digitalnog potpisa.</w:t>
      </w:r>
    </w:p>
    <w:p w14:paraId="2717B7D4" w14:textId="31373BB3" w:rsidR="00022DDA" w:rsidRPr="00512BE3" w:rsidRDefault="004134CF" w:rsidP="005678A5">
      <w:pPr>
        <w:ind w:firstLine="708"/>
        <w:jc w:val="both"/>
        <w:rPr>
          <w:sz w:val="22"/>
          <w:szCs w:val="22"/>
          <w:lang w:val="sr-Cyrl-CS"/>
        </w:rPr>
      </w:pPr>
      <w:r w:rsidRPr="00512BE3">
        <w:rPr>
          <w:sz w:val="22"/>
          <w:szCs w:val="22"/>
          <w:lang w:val="sr-Latn-BA"/>
        </w:rPr>
        <w:t xml:space="preserve">U </w:t>
      </w:r>
      <w:r w:rsidR="00022DDA" w:rsidRPr="00512BE3">
        <w:rPr>
          <w:sz w:val="22"/>
          <w:szCs w:val="22"/>
          <w:lang w:val="sr-Cyrl-CS"/>
        </w:rPr>
        <w:t>skladu sa zahtjevima organizacionih jedinica UIO, kao i vanjskih tražioca informacija, izrađivani su izvještaji iz informacionog sistema UIO, a prema predv</w:t>
      </w:r>
      <w:r w:rsidR="005678A5">
        <w:rPr>
          <w:sz w:val="22"/>
          <w:szCs w:val="22"/>
          <w:lang w:val="sr-Cyrl-CS"/>
        </w:rPr>
        <w:t xml:space="preserve">iđenoj dinamici izvještavanja. </w:t>
      </w:r>
      <w:r w:rsidR="00022DDA" w:rsidRPr="00512BE3">
        <w:rPr>
          <w:sz w:val="22"/>
          <w:szCs w:val="22"/>
          <w:lang w:val="sr-Cyrl-CS"/>
        </w:rPr>
        <w:t>Takođe, u izvještajnom periodu vršene su redovne aktivnosti održavanja opreme, sistemskog i aplikativnog softvera, ažuriranja licenci, kao i administriranja korisničkih naloga i pružanja usluga internim i eksternim korisnicima IS UIO.</w:t>
      </w:r>
    </w:p>
    <w:p w14:paraId="53F41A74" w14:textId="77777777" w:rsidR="004134CF" w:rsidRPr="00512BE3" w:rsidRDefault="004134CF" w:rsidP="00DB4D71">
      <w:pPr>
        <w:pStyle w:val="Normal1"/>
        <w:spacing w:before="0" w:beforeAutospacing="0" w:after="40" w:afterAutospacing="0" w:line="260" w:lineRule="atLeast"/>
        <w:ind w:firstLine="709"/>
        <w:jc w:val="both"/>
        <w:rPr>
          <w:sz w:val="22"/>
          <w:szCs w:val="22"/>
        </w:rPr>
      </w:pPr>
    </w:p>
    <w:p w14:paraId="56A7B732" w14:textId="77777777" w:rsidR="004A11D3" w:rsidRPr="00512BE3" w:rsidRDefault="00FD7CC0" w:rsidP="00DB4D71">
      <w:pPr>
        <w:pStyle w:val="Heading1"/>
        <w:spacing w:before="0" w:after="200"/>
        <w:ind w:left="431" w:hanging="431"/>
        <w:rPr>
          <w:rFonts w:eastAsia="Calibri"/>
          <w:lang w:val="bs-Latn-BA" w:eastAsia="sr-Latn-CS"/>
        </w:rPr>
      </w:pPr>
      <w:bookmarkStart w:id="40" w:name="_Toc95294161"/>
      <w:r w:rsidRPr="00512BE3">
        <w:rPr>
          <w:rFonts w:eastAsia="Calibri"/>
          <w:lang w:val="bs-Latn-BA" w:eastAsia="sr-Latn-CS"/>
        </w:rPr>
        <w:t>INTERNA REVIZIJA</w:t>
      </w:r>
      <w:bookmarkEnd w:id="40"/>
      <w:r w:rsidRPr="00512BE3">
        <w:rPr>
          <w:rFonts w:eastAsia="Calibri"/>
          <w:lang w:val="bs-Latn-BA" w:eastAsia="sr-Latn-CS"/>
        </w:rPr>
        <w:t xml:space="preserve"> </w:t>
      </w:r>
    </w:p>
    <w:p w14:paraId="7B2BD7F2" w14:textId="77777777" w:rsidR="00E7183C" w:rsidRPr="00512BE3" w:rsidRDefault="006406C5" w:rsidP="00E7183C">
      <w:pPr>
        <w:ind w:firstLine="708"/>
        <w:jc w:val="both"/>
        <w:rPr>
          <w:bCs/>
          <w:sz w:val="22"/>
          <w:szCs w:val="22"/>
          <w:lang w:val="en-US"/>
        </w:rPr>
      </w:pPr>
      <w:r w:rsidRPr="00512BE3">
        <w:rPr>
          <w:sz w:val="22"/>
          <w:szCs w:val="22"/>
          <w:lang w:val="bs-Latn-BA"/>
        </w:rPr>
        <w:t xml:space="preserve">U oblasti interne revizije u izvještajnom periodu </w:t>
      </w:r>
      <w:r w:rsidR="00DE3301" w:rsidRPr="00512BE3">
        <w:rPr>
          <w:sz w:val="22"/>
          <w:szCs w:val="22"/>
        </w:rPr>
        <w:t xml:space="preserve">provedeno je </w:t>
      </w:r>
      <w:r w:rsidR="00CA58BD" w:rsidRPr="00512BE3">
        <w:rPr>
          <w:sz w:val="22"/>
          <w:szCs w:val="22"/>
          <w:lang w:val="en-US"/>
        </w:rPr>
        <w:t>šest pojedinačnih revizija, i to revizija upravljanja izgubljenim sudskim sporovima, revizija efikasnosti praćenja rezultata pokrenutih prekršajnih i krivičnih postupaka, revizija upravljanja kontinuitetom poslovanja, revizija upravljanja zaštitom i spašavanjem ljudi i materijalnih dobara od prirodnih ili drugih nesreća, revizija upravljanja selektivitetom carinskih prijava u carinskom postupku sa robama i savjetodavna revizija Stručnoj radnoj grupi za finansijsko upravljanje i kontrolu</w:t>
      </w:r>
      <w:r w:rsidR="00E7183C" w:rsidRPr="00512BE3">
        <w:rPr>
          <w:bCs/>
          <w:sz w:val="22"/>
          <w:szCs w:val="22"/>
          <w:lang w:val="en-US"/>
        </w:rPr>
        <w:t>. Provedenim revizijama rukovodstvu je ukazano na slabosti u upravljanju poslovnim procesima, upravljanju rizicima i kontrolama, i dat</w:t>
      </w:r>
      <w:r w:rsidR="00CA58BD" w:rsidRPr="00512BE3">
        <w:rPr>
          <w:bCs/>
          <w:sz w:val="22"/>
          <w:szCs w:val="22"/>
          <w:lang w:val="en-US"/>
        </w:rPr>
        <w:t>o</w:t>
      </w:r>
      <w:r w:rsidR="00E7183C" w:rsidRPr="00512BE3">
        <w:rPr>
          <w:bCs/>
          <w:sz w:val="22"/>
          <w:szCs w:val="22"/>
          <w:lang w:val="en-US"/>
        </w:rPr>
        <w:t xml:space="preserve"> </w:t>
      </w:r>
      <w:r w:rsidR="00CA58BD" w:rsidRPr="00512BE3">
        <w:rPr>
          <w:bCs/>
          <w:sz w:val="22"/>
          <w:szCs w:val="22"/>
          <w:lang w:val="en-US"/>
        </w:rPr>
        <w:t>je</w:t>
      </w:r>
      <w:r w:rsidR="00E7183C" w:rsidRPr="00512BE3">
        <w:rPr>
          <w:bCs/>
          <w:sz w:val="22"/>
          <w:szCs w:val="22"/>
          <w:lang w:val="en-US"/>
        </w:rPr>
        <w:t xml:space="preserve"> </w:t>
      </w:r>
      <w:r w:rsidR="00CA58BD" w:rsidRPr="00512BE3">
        <w:rPr>
          <w:bCs/>
          <w:sz w:val="22"/>
          <w:szCs w:val="22"/>
          <w:lang w:val="en-US"/>
        </w:rPr>
        <w:t>ukupno 37</w:t>
      </w:r>
      <w:r w:rsidR="00284745" w:rsidRPr="00512BE3">
        <w:rPr>
          <w:bCs/>
          <w:sz w:val="22"/>
          <w:szCs w:val="22"/>
          <w:lang w:val="en-US"/>
        </w:rPr>
        <w:t xml:space="preserve"> </w:t>
      </w:r>
      <w:r w:rsidR="00E7183C" w:rsidRPr="00512BE3">
        <w:rPr>
          <w:bCs/>
          <w:sz w:val="22"/>
          <w:szCs w:val="22"/>
          <w:lang w:val="en-US"/>
        </w:rPr>
        <w:t>prepo</w:t>
      </w:r>
      <w:r w:rsidR="00284745" w:rsidRPr="00512BE3">
        <w:rPr>
          <w:bCs/>
          <w:sz w:val="22"/>
          <w:szCs w:val="22"/>
          <w:lang w:val="en-US"/>
        </w:rPr>
        <w:t>ruke za unapređenje poslovanja.</w:t>
      </w:r>
      <w:r w:rsidR="00E7183C" w:rsidRPr="00512BE3">
        <w:rPr>
          <w:bCs/>
          <w:sz w:val="22"/>
          <w:szCs w:val="22"/>
          <w:lang w:val="en-US"/>
        </w:rPr>
        <w:t xml:space="preserve"> Praćenjem postupanja rukovodstva po preporukama revizije utvrđeno je da je rukovodstvo realizovalo </w:t>
      </w:r>
      <w:r w:rsidR="00CA58BD" w:rsidRPr="00512BE3">
        <w:rPr>
          <w:bCs/>
          <w:sz w:val="22"/>
          <w:szCs w:val="22"/>
          <w:lang w:val="en-US"/>
        </w:rPr>
        <w:t xml:space="preserve">85,42% </w:t>
      </w:r>
      <w:r w:rsidR="00E7183C" w:rsidRPr="00512BE3">
        <w:rPr>
          <w:bCs/>
          <w:sz w:val="22"/>
          <w:szCs w:val="22"/>
          <w:lang w:val="en-US"/>
        </w:rPr>
        <w:t xml:space="preserve">dospjelih preporuka u </w:t>
      </w:r>
      <w:r w:rsidR="00CA58BD" w:rsidRPr="00512BE3">
        <w:rPr>
          <w:bCs/>
          <w:sz w:val="22"/>
          <w:szCs w:val="22"/>
          <w:lang w:val="en-US"/>
        </w:rPr>
        <w:t>toku 2022. godine</w:t>
      </w:r>
      <w:r w:rsidR="00E7183C" w:rsidRPr="00512BE3">
        <w:rPr>
          <w:bCs/>
          <w:sz w:val="22"/>
          <w:szCs w:val="22"/>
          <w:lang w:val="en-US"/>
        </w:rPr>
        <w:t>.</w:t>
      </w:r>
    </w:p>
    <w:p w14:paraId="5C085680" w14:textId="77777777" w:rsidR="00DE3301" w:rsidRPr="00512BE3" w:rsidRDefault="00DE3301" w:rsidP="00E7183C">
      <w:pPr>
        <w:ind w:firstLine="708"/>
        <w:jc w:val="both"/>
        <w:rPr>
          <w:sz w:val="22"/>
          <w:szCs w:val="22"/>
          <w:lang w:val="bs-Latn-BA" w:eastAsia="en-US"/>
        </w:rPr>
      </w:pPr>
    </w:p>
    <w:p w14:paraId="46EB4271" w14:textId="77777777" w:rsidR="00691E2A" w:rsidRPr="00512BE3" w:rsidRDefault="00EC7E88" w:rsidP="00DB4D71">
      <w:pPr>
        <w:pStyle w:val="Heading1"/>
        <w:spacing w:before="0" w:after="200"/>
        <w:ind w:left="431" w:hanging="431"/>
      </w:pPr>
      <w:bookmarkStart w:id="41" w:name="_Toc95294162"/>
      <w:r w:rsidRPr="00512BE3">
        <w:t>NORMATIVNE AKTIVNOSTI</w:t>
      </w:r>
      <w:bookmarkEnd w:id="41"/>
      <w:r w:rsidRPr="00512BE3">
        <w:t xml:space="preserve"> </w:t>
      </w:r>
    </w:p>
    <w:p w14:paraId="4A60D000" w14:textId="77777777" w:rsidR="007806ED" w:rsidRPr="00512BE3" w:rsidRDefault="007806ED" w:rsidP="007806ED">
      <w:pPr>
        <w:jc w:val="both"/>
        <w:rPr>
          <w:bCs/>
          <w:sz w:val="22"/>
          <w:szCs w:val="22"/>
          <w:lang w:val="sr-Latn-RS"/>
        </w:rPr>
      </w:pPr>
      <w:r w:rsidRPr="00512BE3">
        <w:rPr>
          <w:bCs/>
          <w:sz w:val="22"/>
          <w:szCs w:val="22"/>
          <w:lang w:val="sr-Latn-RS"/>
        </w:rPr>
        <w:t>Pored obavljanja redovnih poslova zaposleni u UIO su a</w:t>
      </w:r>
      <w:r w:rsidR="00BB434B" w:rsidRPr="00512BE3">
        <w:rPr>
          <w:bCs/>
          <w:sz w:val="22"/>
          <w:szCs w:val="22"/>
          <w:lang w:val="sr-Latn-RS"/>
        </w:rPr>
        <w:t>ngažovani i</w:t>
      </w:r>
      <w:r w:rsidRPr="00512BE3">
        <w:rPr>
          <w:bCs/>
          <w:sz w:val="22"/>
          <w:szCs w:val="22"/>
          <w:lang w:val="sr-Latn-RS"/>
        </w:rPr>
        <w:t xml:space="preserve"> u radu više stručnih radnih grupa na izradi zakonskih i podzakonskih akata i </w:t>
      </w:r>
      <w:r w:rsidR="00BB434B" w:rsidRPr="00512BE3">
        <w:rPr>
          <w:bCs/>
          <w:sz w:val="22"/>
          <w:szCs w:val="22"/>
          <w:lang w:val="sr-Latn-RS"/>
        </w:rPr>
        <w:t xml:space="preserve">radu drugih </w:t>
      </w:r>
      <w:r w:rsidRPr="00512BE3">
        <w:rPr>
          <w:bCs/>
          <w:sz w:val="22"/>
          <w:szCs w:val="22"/>
          <w:lang w:val="sr-Latn-RS"/>
        </w:rPr>
        <w:t>komisija, što je predstavljalo dodatno opterećenje za zaposlene.</w:t>
      </w:r>
    </w:p>
    <w:p w14:paraId="7F187FDD" w14:textId="77777777" w:rsidR="002374E1" w:rsidRPr="00512BE3" w:rsidRDefault="002374E1" w:rsidP="001C54EC">
      <w:pPr>
        <w:jc w:val="both"/>
        <w:rPr>
          <w:sz w:val="22"/>
          <w:szCs w:val="22"/>
        </w:rPr>
      </w:pPr>
      <w:r w:rsidRPr="00512BE3">
        <w:rPr>
          <w:rFonts w:eastAsia="Calibri"/>
          <w:sz w:val="22"/>
          <w:szCs w:val="22"/>
          <w:lang w:val="sr-Latn-BA" w:eastAsia="en-US"/>
        </w:rPr>
        <w:t xml:space="preserve">U izvještajnom periodu </w:t>
      </w:r>
      <w:r w:rsidR="0062727A" w:rsidRPr="00512BE3">
        <w:rPr>
          <w:rFonts w:eastAsia="Calibri"/>
          <w:sz w:val="22"/>
          <w:szCs w:val="22"/>
          <w:lang w:val="sr-Latn-BA" w:eastAsia="en-US"/>
        </w:rPr>
        <w:t xml:space="preserve">zaposleni u UIO su kontinuirano provodili aktivnosti na pripremi, odnosno izradi sljedećih </w:t>
      </w:r>
      <w:r w:rsidR="00AA5CDC" w:rsidRPr="00512BE3">
        <w:rPr>
          <w:rFonts w:eastAsia="Calibri"/>
          <w:sz w:val="22"/>
          <w:szCs w:val="22"/>
          <w:lang w:val="sr-Latn-BA" w:eastAsia="en-US"/>
        </w:rPr>
        <w:t>zakonskih i podzakonskih propisa</w:t>
      </w:r>
      <w:r w:rsidRPr="00512BE3">
        <w:rPr>
          <w:rFonts w:eastAsia="Calibri"/>
          <w:sz w:val="22"/>
          <w:szCs w:val="22"/>
          <w:lang w:val="sr-Latn-BA" w:eastAsia="en-US"/>
        </w:rPr>
        <w:t>:</w:t>
      </w:r>
    </w:p>
    <w:p w14:paraId="4180BEF4" w14:textId="795CE90C"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Odluka o izmjeni Odluke o sprovođenju Zakona o carinskoj politici u Bosni i Hercegovini</w:t>
      </w:r>
      <w:r w:rsidR="00F746D5">
        <w:rPr>
          <w:bCs/>
          <w:sz w:val="22"/>
          <w:szCs w:val="22"/>
          <w:lang w:val="bs-Latn-BA"/>
        </w:rPr>
        <w:t>;</w:t>
      </w:r>
    </w:p>
    <w:p w14:paraId="032A7820" w14:textId="2FC6E973"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 xml:space="preserve">Odluka o izmjenama i dopuni Odluke o sprovođenju Zakona o carinskoj </w:t>
      </w:r>
      <w:r w:rsidR="00F746D5">
        <w:rPr>
          <w:bCs/>
          <w:sz w:val="22"/>
          <w:szCs w:val="22"/>
          <w:lang w:val="bs-Latn-BA"/>
        </w:rPr>
        <w:t>politici u Bosni i Hercegovini;</w:t>
      </w:r>
    </w:p>
    <w:p w14:paraId="0F4F232B" w14:textId="1443F34B"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izmjeni Uputstva o provođenju postupka po  karnetu TIR</w:t>
      </w:r>
      <w:r w:rsidR="00F746D5">
        <w:rPr>
          <w:bCs/>
          <w:sz w:val="22"/>
          <w:szCs w:val="22"/>
          <w:lang w:val="bs-Latn-BA"/>
        </w:rPr>
        <w:t>;</w:t>
      </w:r>
    </w:p>
    <w:p w14:paraId="6A04DD4C" w14:textId="188D2D6E"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izmjeni Uputstva o postupku izvoza</w:t>
      </w:r>
      <w:r w:rsidR="00F746D5">
        <w:rPr>
          <w:bCs/>
          <w:sz w:val="22"/>
          <w:szCs w:val="22"/>
          <w:lang w:val="bs-Latn-BA"/>
        </w:rPr>
        <w:t>;</w:t>
      </w:r>
    </w:p>
    <w:p w14:paraId="57AA91B0" w14:textId="051D8BBF"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 xml:space="preserve">Uputstvo o izmjeni Uputstva o postupku stavljanja robe u slobodan promet </w:t>
      </w:r>
      <w:r w:rsidR="00F746D5">
        <w:rPr>
          <w:bCs/>
          <w:sz w:val="22"/>
          <w:szCs w:val="22"/>
          <w:lang w:val="bs-Latn-BA"/>
        </w:rPr>
        <w:t>na račun njene krajnje upotrebe;</w:t>
      </w:r>
    </w:p>
    <w:p w14:paraId="45A3E80D" w14:textId="5938B8D7"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izmjenama Uputstva o carinskom postupku spoljne obrade</w:t>
      </w:r>
      <w:r w:rsidR="00F746D5">
        <w:rPr>
          <w:bCs/>
          <w:sz w:val="22"/>
          <w:szCs w:val="22"/>
          <w:lang w:val="bs-Latn-BA"/>
        </w:rPr>
        <w:t>;</w:t>
      </w:r>
    </w:p>
    <w:p w14:paraId="3C0A0FC4" w14:textId="3A7C5E36"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izmjenama uputstva o carinskom postupku unutrašnje obrade</w:t>
      </w:r>
      <w:r w:rsidR="00F746D5">
        <w:rPr>
          <w:bCs/>
          <w:sz w:val="22"/>
          <w:szCs w:val="22"/>
          <w:lang w:val="bs-Latn-BA"/>
        </w:rPr>
        <w:t>;</w:t>
      </w:r>
    </w:p>
    <w:p w14:paraId="690BB242" w14:textId="7C3A57A5"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lastRenderedPageBreak/>
        <w:t>Uputstvo o izmjenama Uputstva o odobravanju držanja carinskog skladišta i postupku carinskog skladištenja</w:t>
      </w:r>
      <w:r w:rsidR="00F746D5">
        <w:rPr>
          <w:bCs/>
          <w:sz w:val="22"/>
          <w:szCs w:val="22"/>
          <w:lang w:val="bs-Latn-BA"/>
        </w:rPr>
        <w:t>;</w:t>
      </w:r>
    </w:p>
    <w:p w14:paraId="00C288F0" w14:textId="5FD88520"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izmjenama Uputstva o provođenju pojednostavljenog postupka prijavljivanja robe na osnovu nepotpune prijave</w:t>
      </w:r>
      <w:r w:rsidR="00F746D5">
        <w:rPr>
          <w:bCs/>
          <w:sz w:val="22"/>
          <w:szCs w:val="22"/>
          <w:lang w:val="bs-Latn-BA"/>
        </w:rPr>
        <w:t>;</w:t>
      </w:r>
    </w:p>
    <w:p w14:paraId="420C1570" w14:textId="6910D12E"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izmjeni uputstva o postupku obrade pod carinskom kontrolom</w:t>
      </w:r>
      <w:r w:rsidR="00F746D5">
        <w:rPr>
          <w:bCs/>
          <w:sz w:val="22"/>
          <w:szCs w:val="22"/>
          <w:lang w:val="bs-Latn-BA"/>
        </w:rPr>
        <w:t>;</w:t>
      </w:r>
    </w:p>
    <w:p w14:paraId="649F30A5" w14:textId="5F9D95D8"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izmjeni Uputstva o vraćanju izvezene robe</w:t>
      </w:r>
      <w:r w:rsidR="00F746D5">
        <w:rPr>
          <w:bCs/>
          <w:sz w:val="22"/>
          <w:szCs w:val="22"/>
          <w:lang w:val="bs-Latn-BA"/>
        </w:rPr>
        <w:t>;</w:t>
      </w:r>
    </w:p>
    <w:p w14:paraId="4A1A0FC5" w14:textId="1DF22387"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Uputsvo o  carinskim skladištima i postupku carinskog skladištenja</w:t>
      </w:r>
      <w:r w:rsidR="00F746D5">
        <w:rPr>
          <w:bCs/>
          <w:sz w:val="22"/>
          <w:szCs w:val="22"/>
          <w:lang w:val="bs-Latn-BA"/>
        </w:rPr>
        <w:t>;</w:t>
      </w:r>
    </w:p>
    <w:p w14:paraId="64DBCCA2" w14:textId="29C61F64"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Odluka o stavljanju van snage Odluke o troškovima pregleda robe izvan mjesta rada i izvan radnog vremena carinskog organa</w:t>
      </w:r>
      <w:r w:rsidR="00F746D5">
        <w:rPr>
          <w:bCs/>
          <w:sz w:val="22"/>
          <w:szCs w:val="22"/>
          <w:lang w:val="bs-Latn-BA"/>
        </w:rPr>
        <w:t>;</w:t>
      </w:r>
    </w:p>
    <w:p w14:paraId="5F465B69" w14:textId="58349258" w:rsidR="00570C55" w:rsidRPr="00355691" w:rsidRDefault="00570C55" w:rsidP="00355691">
      <w:pPr>
        <w:pStyle w:val="ListParagraph"/>
        <w:numPr>
          <w:ilvl w:val="0"/>
          <w:numId w:val="29"/>
        </w:numPr>
        <w:jc w:val="both"/>
        <w:rPr>
          <w:bCs/>
          <w:sz w:val="22"/>
          <w:szCs w:val="22"/>
          <w:lang w:val="bs-Latn-BA"/>
        </w:rPr>
      </w:pPr>
      <w:r w:rsidRPr="00512BE3">
        <w:rPr>
          <w:bCs/>
          <w:sz w:val="22"/>
          <w:szCs w:val="22"/>
          <w:lang w:val="bs-Latn-BA"/>
        </w:rPr>
        <w:t>Odluka o visini stope kompenzatorne kamate za period od 01. jula 2022. godine do 31. jula 2022. godine i Odluka o visini stope kompenzatorne kamate za period od 01. augusta 2022. godine do 31. decembra 2022. godine</w:t>
      </w:r>
      <w:r w:rsidR="00355691">
        <w:rPr>
          <w:bCs/>
          <w:sz w:val="22"/>
          <w:szCs w:val="22"/>
          <w:lang w:val="bs-Latn-BA"/>
        </w:rPr>
        <w:t xml:space="preserve"> i</w:t>
      </w:r>
      <w:r w:rsidR="00355691" w:rsidRPr="00355691">
        <w:rPr>
          <w:bCs/>
          <w:sz w:val="22"/>
          <w:szCs w:val="22"/>
          <w:lang w:val="bs-Latn-BA"/>
        </w:rPr>
        <w:t xml:space="preserve"> </w:t>
      </w:r>
      <w:r w:rsidR="00355691" w:rsidRPr="00512BE3">
        <w:rPr>
          <w:bCs/>
          <w:sz w:val="22"/>
          <w:szCs w:val="22"/>
          <w:lang w:val="bs-Latn-BA"/>
        </w:rPr>
        <w:t>Odluku o  visini stope kompenzatorne kamate za period od 01.01 2023. godine do 30. juna 2023. godine</w:t>
      </w:r>
      <w:r w:rsidR="00355691">
        <w:rPr>
          <w:bCs/>
          <w:sz w:val="22"/>
          <w:szCs w:val="22"/>
          <w:lang w:val="bs-Latn-BA"/>
        </w:rPr>
        <w:t>;</w:t>
      </w:r>
    </w:p>
    <w:p w14:paraId="292DAEF3" w14:textId="0AE6C504"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Odluka o korištenju sveobuhvatne garancije na niži iznos za osiguranje plaćanja indirektnih poreza u unutrašnjoj obradu</w:t>
      </w:r>
      <w:r w:rsidR="00F746D5">
        <w:rPr>
          <w:bCs/>
          <w:sz w:val="22"/>
          <w:szCs w:val="22"/>
          <w:lang w:val="bs-Latn-BA"/>
        </w:rPr>
        <w:t>;</w:t>
      </w:r>
    </w:p>
    <w:p w14:paraId="589D7804" w14:textId="1E274DEE"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Odluke o troškovima pregleda robe izvan mjesta rada i izvan radnog vremena carinskih organa</w:t>
      </w:r>
      <w:r w:rsidR="00F746D5">
        <w:rPr>
          <w:bCs/>
          <w:sz w:val="22"/>
          <w:szCs w:val="22"/>
          <w:lang w:val="bs-Latn-BA"/>
        </w:rPr>
        <w:t>;</w:t>
      </w:r>
    </w:p>
    <w:p w14:paraId="2C122631" w14:textId="187F6346"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Uputsvo o postupku unutrašnje obrade</w:t>
      </w:r>
      <w:r w:rsidR="00F746D5">
        <w:rPr>
          <w:bCs/>
          <w:sz w:val="22"/>
          <w:szCs w:val="22"/>
          <w:lang w:val="bs-Latn-BA"/>
        </w:rPr>
        <w:t>;</w:t>
      </w:r>
    </w:p>
    <w:p w14:paraId="4F4FFF7D" w14:textId="5ACB159C"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postupku kućnog izvoznog carinjenja</w:t>
      </w:r>
      <w:r w:rsidR="00F746D5">
        <w:rPr>
          <w:bCs/>
          <w:sz w:val="22"/>
          <w:szCs w:val="22"/>
          <w:lang w:val="bs-Latn-BA"/>
        </w:rPr>
        <w:t>;</w:t>
      </w:r>
    </w:p>
    <w:p w14:paraId="4B094882" w14:textId="0A7694DD"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postupku kućnog uvoznog carinjenja</w:t>
      </w:r>
      <w:r w:rsidR="00F746D5">
        <w:rPr>
          <w:bCs/>
          <w:sz w:val="22"/>
          <w:szCs w:val="22"/>
          <w:lang w:val="bs-Latn-BA"/>
        </w:rPr>
        <w:t>;</w:t>
      </w:r>
    </w:p>
    <w:p w14:paraId="3E2F84DC" w14:textId="3A50538B"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Uputsvo o odobravanju statusa ovlašćenog privrednog subjekta (AEO)</w:t>
      </w:r>
      <w:r w:rsidR="00F746D5">
        <w:rPr>
          <w:bCs/>
          <w:sz w:val="22"/>
          <w:szCs w:val="22"/>
          <w:lang w:val="bs-Latn-BA"/>
        </w:rPr>
        <w:t>;</w:t>
      </w:r>
    </w:p>
    <w:p w14:paraId="4008B966" w14:textId="25B1DA45"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o postupku kućnog carinjenja robe koja se prevozi fiksnim prevoznim instalacijama</w:t>
      </w:r>
      <w:r w:rsidR="00F746D5">
        <w:rPr>
          <w:bCs/>
          <w:sz w:val="22"/>
          <w:szCs w:val="22"/>
          <w:lang w:val="bs-Latn-BA"/>
        </w:rPr>
        <w:t>;</w:t>
      </w:r>
    </w:p>
    <w:p w14:paraId="31367574" w14:textId="18C16B49"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Uputstvo za popunjavanje carinske deklaracije i dekla</w:t>
      </w:r>
      <w:r w:rsidR="00355691">
        <w:rPr>
          <w:bCs/>
          <w:sz w:val="22"/>
          <w:szCs w:val="22"/>
          <w:lang w:val="bs-Latn-BA"/>
        </w:rPr>
        <w:t>racije privremeni smještaj;</w:t>
      </w:r>
    </w:p>
    <w:p w14:paraId="6D3A8522" w14:textId="5299B4F6"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Pravilnik o izmjeni i dopunama Pravilnika o primjeni Zakona o porezu na dodanu vrijednost sa pripadajućim Uputstvom za popunjavanje PDV prijave (“Službeni glasnik BiH” broj: 47/22)</w:t>
      </w:r>
      <w:r w:rsidR="00F746D5">
        <w:rPr>
          <w:bCs/>
          <w:sz w:val="22"/>
          <w:szCs w:val="22"/>
          <w:lang w:val="bs-Latn-BA"/>
        </w:rPr>
        <w:t>;</w:t>
      </w:r>
    </w:p>
    <w:p w14:paraId="116C06AB" w14:textId="773450F8"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Pravilnik o izmjenama Pravilnika o primjeni Zakona o porezu na dodanu vrijednost (“Službeni glasnik BiH” broj: 87/22)</w:t>
      </w:r>
      <w:r w:rsidR="00F746D5">
        <w:rPr>
          <w:bCs/>
          <w:sz w:val="22"/>
          <w:szCs w:val="22"/>
          <w:lang w:val="bs-Latn-BA"/>
        </w:rPr>
        <w:t>;</w:t>
      </w:r>
    </w:p>
    <w:p w14:paraId="33138D2C" w14:textId="62B2DB58" w:rsidR="00570C55" w:rsidRPr="00512BE3" w:rsidRDefault="00570C55" w:rsidP="00570C55">
      <w:pPr>
        <w:pStyle w:val="ListParagraph"/>
        <w:numPr>
          <w:ilvl w:val="0"/>
          <w:numId w:val="29"/>
        </w:numPr>
        <w:jc w:val="both"/>
        <w:rPr>
          <w:bCs/>
          <w:sz w:val="22"/>
          <w:szCs w:val="22"/>
          <w:lang w:val="bs-Latn-BA"/>
        </w:rPr>
      </w:pPr>
      <w:r w:rsidRPr="00512BE3">
        <w:rPr>
          <w:bCs/>
          <w:sz w:val="22"/>
          <w:szCs w:val="22"/>
          <w:lang w:val="bs-Latn-BA"/>
        </w:rPr>
        <w:t>Zakona o izmjenama i dopunama Zakona o akcizama u BiH (“Službeni glasnik BiH” broj: 50/22)</w:t>
      </w:r>
      <w:r w:rsidR="00F746D5">
        <w:rPr>
          <w:bCs/>
          <w:sz w:val="22"/>
          <w:szCs w:val="22"/>
          <w:lang w:val="bs-Latn-BA"/>
        </w:rPr>
        <w:t>;</w:t>
      </w:r>
    </w:p>
    <w:p w14:paraId="4573CC62" w14:textId="1DAA3011" w:rsidR="00570C55" w:rsidRDefault="00570C55" w:rsidP="00570C55">
      <w:pPr>
        <w:pStyle w:val="ListParagraph"/>
        <w:numPr>
          <w:ilvl w:val="0"/>
          <w:numId w:val="29"/>
        </w:numPr>
        <w:jc w:val="both"/>
        <w:rPr>
          <w:bCs/>
          <w:sz w:val="22"/>
          <w:szCs w:val="22"/>
          <w:lang w:val="bs-Latn-BA"/>
        </w:rPr>
      </w:pPr>
      <w:r w:rsidRPr="00512BE3">
        <w:rPr>
          <w:bCs/>
          <w:sz w:val="22"/>
          <w:szCs w:val="22"/>
          <w:lang w:val="bs-Latn-BA"/>
        </w:rPr>
        <w:t>Pravilnik o izmjenama i dopunama Pravilnika o primjeni Zakona o akcizama u BiH (“Službeni glasnik BiH” broj: 85/22)</w:t>
      </w:r>
      <w:r w:rsidR="00367A9A">
        <w:rPr>
          <w:bCs/>
          <w:sz w:val="22"/>
          <w:szCs w:val="22"/>
          <w:lang w:val="bs-Latn-BA"/>
        </w:rPr>
        <w:t>;</w:t>
      </w:r>
    </w:p>
    <w:p w14:paraId="3DA61635" w14:textId="0F6FF3BF" w:rsidR="00367A9A" w:rsidRDefault="00367A9A" w:rsidP="00570C55">
      <w:pPr>
        <w:pStyle w:val="ListParagraph"/>
        <w:numPr>
          <w:ilvl w:val="0"/>
          <w:numId w:val="29"/>
        </w:numPr>
        <w:jc w:val="both"/>
        <w:rPr>
          <w:bCs/>
          <w:sz w:val="22"/>
          <w:szCs w:val="22"/>
          <w:lang w:val="bs-Latn-BA"/>
        </w:rPr>
      </w:pPr>
      <w:r>
        <w:rPr>
          <w:bCs/>
          <w:sz w:val="22"/>
          <w:szCs w:val="22"/>
          <w:lang w:val="bs-Latn-BA"/>
        </w:rPr>
        <w:t>P</w:t>
      </w:r>
      <w:r w:rsidR="00CE5778">
        <w:rPr>
          <w:bCs/>
          <w:sz w:val="22"/>
          <w:szCs w:val="22"/>
          <w:lang w:val="bs-Latn-BA"/>
        </w:rPr>
        <w:t>l</w:t>
      </w:r>
      <w:r>
        <w:rPr>
          <w:bCs/>
          <w:sz w:val="22"/>
          <w:szCs w:val="22"/>
          <w:lang w:val="bs-Latn-BA"/>
        </w:rPr>
        <w:t>an čuvanja tajnih podataka u UIO i Program edukacije u oblasti tajnih podataka u UIO;</w:t>
      </w:r>
    </w:p>
    <w:p w14:paraId="50CEA9B6" w14:textId="46422AF3" w:rsidR="00367A9A" w:rsidRPr="00367A9A" w:rsidRDefault="00367A9A" w:rsidP="00570C55">
      <w:pPr>
        <w:pStyle w:val="ListParagraph"/>
        <w:numPr>
          <w:ilvl w:val="0"/>
          <w:numId w:val="29"/>
        </w:numPr>
        <w:jc w:val="both"/>
        <w:rPr>
          <w:bCs/>
          <w:sz w:val="22"/>
          <w:szCs w:val="22"/>
          <w:lang w:val="bs-Latn-BA"/>
        </w:rPr>
      </w:pPr>
      <w:r>
        <w:rPr>
          <w:bCs/>
          <w:sz w:val="22"/>
          <w:szCs w:val="22"/>
          <w:lang w:val="bs-Latn-BA"/>
        </w:rPr>
        <w:t xml:space="preserve">Pravilnik </w:t>
      </w:r>
      <w:r w:rsidRPr="00D41C55">
        <w:rPr>
          <w:rFonts w:eastAsia="Calibri"/>
          <w:sz w:val="22"/>
          <w:szCs w:val="22"/>
          <w:lang w:val="sr-Latn-RS" w:eastAsia="en-US"/>
        </w:rPr>
        <w:t>o ocjenjivanju rada zaposlenih  u UIO i Priručnik o procedurama i standardima ocjen</w:t>
      </w:r>
      <w:r>
        <w:rPr>
          <w:rFonts w:eastAsia="Calibri"/>
          <w:sz w:val="22"/>
          <w:szCs w:val="22"/>
          <w:lang w:val="sr-Latn-RS" w:eastAsia="en-US"/>
        </w:rPr>
        <w:t>jivanja rada zaposlenih u UIO;</w:t>
      </w:r>
    </w:p>
    <w:p w14:paraId="672292A7" w14:textId="32FD44AB" w:rsidR="00367A9A" w:rsidRDefault="00367A9A" w:rsidP="00570C55">
      <w:pPr>
        <w:pStyle w:val="ListParagraph"/>
        <w:numPr>
          <w:ilvl w:val="0"/>
          <w:numId w:val="29"/>
        </w:numPr>
        <w:jc w:val="both"/>
        <w:rPr>
          <w:bCs/>
          <w:sz w:val="22"/>
          <w:szCs w:val="22"/>
          <w:lang w:val="bs-Latn-BA"/>
        </w:rPr>
      </w:pPr>
      <w:r w:rsidRPr="00D41C55">
        <w:rPr>
          <w:rFonts w:eastAsia="Calibri"/>
          <w:sz w:val="22"/>
          <w:szCs w:val="22"/>
          <w:lang w:val="sr-Latn-RS" w:eastAsia="en-US"/>
        </w:rPr>
        <w:t xml:space="preserve"> Plan integriteta u UIO</w:t>
      </w:r>
      <w:r>
        <w:rPr>
          <w:rFonts w:eastAsia="Calibri"/>
          <w:sz w:val="22"/>
          <w:szCs w:val="22"/>
          <w:lang w:val="sr-Latn-RS" w:eastAsia="en-US"/>
        </w:rPr>
        <w:t>;</w:t>
      </w:r>
    </w:p>
    <w:p w14:paraId="5ABB8CF7" w14:textId="134E69EB" w:rsidR="007806ED" w:rsidRPr="00CE5778" w:rsidRDefault="00367A9A" w:rsidP="00570C55">
      <w:pPr>
        <w:jc w:val="both"/>
        <w:rPr>
          <w:bCs/>
          <w:sz w:val="22"/>
          <w:szCs w:val="22"/>
          <w:lang w:val="bs-Latn-BA"/>
        </w:rPr>
      </w:pPr>
      <w:r>
        <w:rPr>
          <w:bCs/>
          <w:sz w:val="22"/>
          <w:szCs w:val="22"/>
          <w:lang w:val="bs-Latn-BA"/>
        </w:rPr>
        <w:t xml:space="preserve">Osim </w:t>
      </w:r>
      <w:r w:rsidR="00355691">
        <w:rPr>
          <w:bCs/>
          <w:sz w:val="22"/>
          <w:szCs w:val="22"/>
          <w:lang w:val="bs-Latn-BA"/>
        </w:rPr>
        <w:t>rada u izradi</w:t>
      </w:r>
      <w:r w:rsidR="005626C5">
        <w:rPr>
          <w:bCs/>
          <w:sz w:val="22"/>
          <w:szCs w:val="22"/>
          <w:lang w:val="bs-Latn-BA"/>
        </w:rPr>
        <w:t xml:space="preserve"> navedenih zakonskih i podzakonskih propisa </w:t>
      </w:r>
      <w:r>
        <w:rPr>
          <w:bCs/>
          <w:sz w:val="22"/>
          <w:szCs w:val="22"/>
          <w:lang w:val="bs-Latn-BA"/>
        </w:rPr>
        <w:t>tokom 2022. godine</w:t>
      </w:r>
      <w:r w:rsidR="00355691">
        <w:rPr>
          <w:bCs/>
          <w:sz w:val="22"/>
          <w:szCs w:val="22"/>
          <w:lang w:val="bs-Latn-BA"/>
        </w:rPr>
        <w:t>, sačinjeno je i doneseno nekoliko</w:t>
      </w:r>
      <w:r>
        <w:rPr>
          <w:bCs/>
          <w:sz w:val="22"/>
          <w:szCs w:val="22"/>
          <w:lang w:val="bs-Latn-BA"/>
        </w:rPr>
        <w:t xml:space="preserve"> internih procedura za određene segmente rada UIO u svrhu efikasnijeg provođenje poslovnih procesa UIO i finansijskog upravljanja i kontrole u odvijanju istih. Takođe</w:t>
      </w:r>
      <w:r w:rsidR="005626C5">
        <w:rPr>
          <w:bCs/>
          <w:sz w:val="22"/>
          <w:szCs w:val="22"/>
          <w:lang w:val="bs-Latn-BA"/>
        </w:rPr>
        <w:t>, službenici UIO su angažovani i u radu radnih grupa na izradi novog Zakona o carinskoj politici</w:t>
      </w:r>
      <w:r>
        <w:rPr>
          <w:bCs/>
          <w:sz w:val="22"/>
          <w:szCs w:val="22"/>
          <w:lang w:val="bs-Latn-BA"/>
        </w:rPr>
        <w:t xml:space="preserve"> u BiH</w:t>
      </w:r>
      <w:r w:rsidR="005626C5">
        <w:rPr>
          <w:bCs/>
          <w:sz w:val="22"/>
          <w:szCs w:val="22"/>
          <w:lang w:val="bs-Latn-BA"/>
        </w:rPr>
        <w:t>, Zakona o izmjenama i dopunama Zakona o UIO, Zakona o postupku prinudne naplate indirektnih poreza, Zakona o postupku indirektnog oprezivanja, novog Pravilnika o unutrašnjoj organizaciji UIO</w:t>
      </w:r>
      <w:r>
        <w:rPr>
          <w:bCs/>
          <w:sz w:val="22"/>
          <w:szCs w:val="22"/>
          <w:lang w:val="bs-Latn-BA"/>
        </w:rPr>
        <w:t xml:space="preserve"> i drugih podzakonskih akata koji su neophodni za odvijanje poslovnih procesa UIO.</w:t>
      </w:r>
      <w:r w:rsidR="005626C5">
        <w:rPr>
          <w:bCs/>
          <w:sz w:val="22"/>
          <w:szCs w:val="22"/>
          <w:lang w:val="bs-Latn-BA"/>
        </w:rPr>
        <w:t xml:space="preserve"> </w:t>
      </w:r>
    </w:p>
    <w:p w14:paraId="681BBC1D" w14:textId="4A0692F9" w:rsidR="009511F3" w:rsidRPr="00512BE3" w:rsidRDefault="00F75CA7" w:rsidP="006A0436">
      <w:pPr>
        <w:jc w:val="both"/>
        <w:rPr>
          <w:bCs/>
          <w:sz w:val="22"/>
          <w:szCs w:val="22"/>
          <w:lang w:val="sr-Latn-RS"/>
        </w:rPr>
      </w:pPr>
      <w:r w:rsidRPr="00512BE3">
        <w:rPr>
          <w:sz w:val="22"/>
          <w:szCs w:val="22"/>
          <w:lang w:val="bs-Latn-BA"/>
        </w:rPr>
        <w:t>O</w:t>
      </w:r>
      <w:r w:rsidRPr="00512BE3">
        <w:rPr>
          <w:noProof/>
          <w:sz w:val="22"/>
          <w:szCs w:val="22"/>
          <w:lang w:val="bs-Latn-BA"/>
        </w:rPr>
        <w:t>rgan</w:t>
      </w:r>
      <w:r w:rsidR="00570C55" w:rsidRPr="00512BE3">
        <w:rPr>
          <w:noProof/>
          <w:sz w:val="22"/>
          <w:szCs w:val="22"/>
          <w:lang w:val="bs-Latn-BA"/>
        </w:rPr>
        <w:t>izacione jedinice UIO tokom 2022</w:t>
      </w:r>
      <w:r w:rsidRPr="00512BE3">
        <w:rPr>
          <w:noProof/>
          <w:sz w:val="22"/>
          <w:szCs w:val="22"/>
          <w:lang w:val="bs-Latn-BA"/>
        </w:rPr>
        <w:t>. godine uspješno su sarađivale sa nadležnim tužilaštvima</w:t>
      </w:r>
      <w:r w:rsidR="00F03F4C" w:rsidRPr="00512BE3">
        <w:rPr>
          <w:noProof/>
          <w:sz w:val="22"/>
          <w:szCs w:val="22"/>
          <w:lang w:val="bs-Latn-BA"/>
        </w:rPr>
        <w:t>, sudovima</w:t>
      </w:r>
      <w:r w:rsidRPr="00512BE3">
        <w:rPr>
          <w:noProof/>
          <w:sz w:val="22"/>
          <w:szCs w:val="22"/>
          <w:lang w:val="bs-Latn-BA"/>
        </w:rPr>
        <w:t xml:space="preserve"> i agencijama za provođen</w:t>
      </w:r>
      <w:r w:rsidR="001863EB" w:rsidRPr="00512BE3">
        <w:rPr>
          <w:noProof/>
          <w:sz w:val="22"/>
          <w:szCs w:val="22"/>
          <w:lang w:val="bs-Latn-BA"/>
        </w:rPr>
        <w:t>j</w:t>
      </w:r>
      <w:r w:rsidRPr="00512BE3">
        <w:rPr>
          <w:noProof/>
          <w:sz w:val="22"/>
          <w:szCs w:val="22"/>
          <w:lang w:val="bs-Latn-BA"/>
        </w:rPr>
        <w:t xml:space="preserve">e zakona, </w:t>
      </w:r>
      <w:r w:rsidR="00FF5878" w:rsidRPr="00512BE3">
        <w:rPr>
          <w:sz w:val="22"/>
          <w:szCs w:val="22"/>
          <w:lang w:val="sr-Latn-BA" w:eastAsia="en-US"/>
        </w:rPr>
        <w:t>međunarodnim organizacijama (CEFTA, GIZ,</w:t>
      </w:r>
      <w:r w:rsidR="00FF5878" w:rsidRPr="00512BE3">
        <w:rPr>
          <w:rFonts w:eastAsia="Calibri"/>
          <w:i/>
          <w:sz w:val="22"/>
          <w:szCs w:val="22"/>
          <w:lang w:val="sr-Latn-RS" w:eastAsia="en-US"/>
        </w:rPr>
        <w:t xml:space="preserve"> </w:t>
      </w:r>
      <w:r w:rsidR="00655B2B" w:rsidRPr="00512BE3">
        <w:rPr>
          <w:sz w:val="22"/>
          <w:szCs w:val="22"/>
          <w:lang w:val="sr-Latn-BA" w:eastAsia="sr-Latn-BA"/>
        </w:rPr>
        <w:t>Svjetskom</w:t>
      </w:r>
      <w:r w:rsidR="00F03DD4" w:rsidRPr="00512BE3">
        <w:rPr>
          <w:sz w:val="22"/>
          <w:szCs w:val="22"/>
          <w:lang w:val="sr-Latn-BA" w:eastAsia="sr-Latn-BA"/>
        </w:rPr>
        <w:t xml:space="preserve"> carinsk</w:t>
      </w:r>
      <w:r w:rsidR="00655B2B" w:rsidRPr="00512BE3">
        <w:rPr>
          <w:sz w:val="22"/>
          <w:szCs w:val="22"/>
          <w:lang w:val="sr-Latn-BA" w:eastAsia="sr-Latn-BA"/>
        </w:rPr>
        <w:t>om organizacijom</w:t>
      </w:r>
      <w:r w:rsidR="00F03DD4" w:rsidRPr="00512BE3">
        <w:rPr>
          <w:sz w:val="22"/>
          <w:szCs w:val="22"/>
          <w:lang w:val="sr-Latn-BA" w:eastAsia="sr-Latn-BA"/>
        </w:rPr>
        <w:t xml:space="preserve">, </w:t>
      </w:r>
      <w:r w:rsidR="009511F3" w:rsidRPr="00512BE3">
        <w:rPr>
          <w:rFonts w:eastAsia="Calibri"/>
          <w:sz w:val="22"/>
          <w:szCs w:val="22"/>
          <w:lang w:val="sr-Latn-RS" w:eastAsia="en-US"/>
        </w:rPr>
        <w:t>Tim za Projekat saradnje UIO sa Poreskom upravom Švedske</w:t>
      </w:r>
      <w:r w:rsidR="00EA095D" w:rsidRPr="00512BE3">
        <w:rPr>
          <w:rFonts w:eastAsia="Calibri"/>
          <w:sz w:val="22"/>
          <w:szCs w:val="22"/>
          <w:lang w:val="sr-Latn-RS" w:eastAsia="en-US"/>
        </w:rPr>
        <w:t>,</w:t>
      </w:r>
      <w:r w:rsidR="00FF5878" w:rsidRPr="00512BE3">
        <w:rPr>
          <w:rFonts w:eastAsia="Calibri"/>
          <w:sz w:val="22"/>
          <w:szCs w:val="22"/>
          <w:lang w:val="sr-Latn-RS" w:eastAsia="en-US"/>
        </w:rPr>
        <w:t xml:space="preserve"> </w:t>
      </w:r>
      <w:r w:rsidR="00EA095D" w:rsidRPr="00512BE3">
        <w:rPr>
          <w:rFonts w:eastAsia="Calibri"/>
          <w:sz w:val="22"/>
          <w:szCs w:val="22"/>
          <w:lang w:val="en-US" w:eastAsia="en-US"/>
        </w:rPr>
        <w:t>Tim za upravljanje programima EU Customs i Fiscalis</w:t>
      </w:r>
      <w:r w:rsidR="00EA095D" w:rsidRPr="00512BE3">
        <w:rPr>
          <w:rFonts w:eastAsia="Calibri"/>
          <w:sz w:val="22"/>
          <w:szCs w:val="22"/>
          <w:lang w:val="sr-Latn-RS" w:eastAsia="en-US"/>
        </w:rPr>
        <w:t xml:space="preserve"> </w:t>
      </w:r>
      <w:r w:rsidR="00FF5878" w:rsidRPr="00512BE3">
        <w:rPr>
          <w:rFonts w:eastAsia="Calibri"/>
          <w:sz w:val="22"/>
          <w:szCs w:val="22"/>
          <w:lang w:val="sr-Latn-RS" w:eastAsia="en-US"/>
        </w:rPr>
        <w:t>i dr.),</w:t>
      </w:r>
      <w:r w:rsidR="001863EB" w:rsidRPr="00512BE3">
        <w:rPr>
          <w:rFonts w:eastAsia="Calibri"/>
          <w:sz w:val="22"/>
          <w:szCs w:val="22"/>
          <w:lang w:val="sr-Latn-RS" w:eastAsia="en-US"/>
        </w:rPr>
        <w:t xml:space="preserve"> te</w:t>
      </w:r>
      <w:r w:rsidR="00FF5878" w:rsidRPr="00512BE3">
        <w:rPr>
          <w:rFonts w:eastAsia="Calibri"/>
          <w:sz w:val="22"/>
          <w:szCs w:val="22"/>
          <w:lang w:val="sr-Latn-RS" w:eastAsia="en-US"/>
        </w:rPr>
        <w:t xml:space="preserve"> saradnja sa </w:t>
      </w:r>
      <w:r w:rsidR="001863EB" w:rsidRPr="00512BE3">
        <w:rPr>
          <w:rFonts w:eastAsia="Calibri"/>
          <w:sz w:val="22"/>
          <w:szCs w:val="22"/>
          <w:lang w:val="sr-Latn-RS" w:eastAsia="en-US"/>
        </w:rPr>
        <w:t>C</w:t>
      </w:r>
      <w:r w:rsidR="00F03F4C" w:rsidRPr="00512BE3">
        <w:rPr>
          <w:sz w:val="22"/>
          <w:szCs w:val="22"/>
          <w:lang w:eastAsia="en-US"/>
        </w:rPr>
        <w:t>arinskim</w:t>
      </w:r>
      <w:r w:rsidR="00FF5878" w:rsidRPr="00512BE3">
        <w:rPr>
          <w:sz w:val="22"/>
          <w:szCs w:val="22"/>
          <w:lang w:eastAsia="en-US"/>
        </w:rPr>
        <w:t xml:space="preserve"> uprav</w:t>
      </w:r>
      <w:r w:rsidR="00F03F4C" w:rsidRPr="00512BE3">
        <w:rPr>
          <w:sz w:val="22"/>
          <w:szCs w:val="22"/>
          <w:lang w:eastAsia="en-US"/>
        </w:rPr>
        <w:t>ama</w:t>
      </w:r>
      <w:r w:rsidR="00FF5878" w:rsidRPr="00512BE3">
        <w:rPr>
          <w:sz w:val="22"/>
          <w:szCs w:val="22"/>
          <w:lang w:eastAsia="en-US"/>
        </w:rPr>
        <w:t xml:space="preserve"> </w:t>
      </w:r>
      <w:r w:rsidR="001863EB" w:rsidRPr="00512BE3">
        <w:rPr>
          <w:sz w:val="22"/>
          <w:szCs w:val="22"/>
          <w:lang w:eastAsia="en-US"/>
        </w:rPr>
        <w:t xml:space="preserve">Srbije, </w:t>
      </w:r>
      <w:r w:rsidR="00FF5878" w:rsidRPr="00512BE3">
        <w:rPr>
          <w:sz w:val="22"/>
          <w:szCs w:val="22"/>
          <w:lang w:eastAsia="en-US"/>
        </w:rPr>
        <w:t>Crne Gore</w:t>
      </w:r>
      <w:r w:rsidR="001863EB" w:rsidRPr="00512BE3">
        <w:rPr>
          <w:sz w:val="22"/>
          <w:szCs w:val="22"/>
          <w:lang w:eastAsia="en-US"/>
        </w:rPr>
        <w:t>, Slovenije</w:t>
      </w:r>
      <w:r w:rsidR="00F03F4C" w:rsidRPr="00512BE3">
        <w:rPr>
          <w:sz w:val="22"/>
          <w:szCs w:val="22"/>
          <w:lang w:eastAsia="en-US"/>
        </w:rPr>
        <w:t xml:space="preserve"> i Hrvatske</w:t>
      </w:r>
      <w:r w:rsidR="001863EB" w:rsidRPr="00512BE3">
        <w:rPr>
          <w:sz w:val="22"/>
          <w:szCs w:val="22"/>
          <w:lang w:eastAsia="en-US"/>
        </w:rPr>
        <w:t>.</w:t>
      </w:r>
    </w:p>
    <w:p w14:paraId="0B0CA351" w14:textId="77777777" w:rsidR="00DB4D71" w:rsidRPr="00512BE3" w:rsidRDefault="00DB4D71" w:rsidP="00DB4D71">
      <w:pPr>
        <w:pStyle w:val="ListParagraph"/>
        <w:jc w:val="both"/>
        <w:rPr>
          <w:bCs/>
          <w:sz w:val="22"/>
          <w:lang w:val="sr-Latn-RS"/>
        </w:rPr>
      </w:pPr>
    </w:p>
    <w:p w14:paraId="7EE21AC9" w14:textId="35969D86" w:rsidR="00C431A1" w:rsidRPr="00512BE3" w:rsidRDefault="003479D7" w:rsidP="00DB4D71">
      <w:pPr>
        <w:pStyle w:val="Heading1"/>
        <w:spacing w:before="0" w:after="200"/>
        <w:ind w:left="431" w:hanging="431"/>
        <w:rPr>
          <w:rFonts w:eastAsia="Calibri"/>
          <w:lang w:val="bs-Latn-BA" w:eastAsia="en-US"/>
        </w:rPr>
      </w:pPr>
      <w:bookmarkStart w:id="42" w:name="_Toc95294163"/>
      <w:r w:rsidRPr="00512BE3">
        <w:rPr>
          <w:rFonts w:eastAsia="Calibri"/>
          <w:lang w:val="bs-Latn-BA" w:eastAsia="en-US"/>
        </w:rPr>
        <w:t>OSTALE AKTIVNOSTI</w:t>
      </w:r>
      <w:bookmarkEnd w:id="42"/>
    </w:p>
    <w:p w14:paraId="432A9259" w14:textId="15BA019D" w:rsidR="003F1AD8" w:rsidRPr="00512BE3" w:rsidRDefault="005F5F1C" w:rsidP="00F746D5">
      <w:pPr>
        <w:pStyle w:val="body0020text0020002820029"/>
        <w:spacing w:before="0" w:beforeAutospacing="0" w:after="0" w:afterAutospacing="0" w:line="240" w:lineRule="atLeast"/>
        <w:jc w:val="both"/>
        <w:rPr>
          <w:sz w:val="22"/>
          <w:szCs w:val="22"/>
          <w:lang w:val="bs-Latn-BA"/>
        </w:rPr>
      </w:pPr>
      <w:bookmarkStart w:id="43" w:name="bookmark4"/>
      <w:bookmarkStart w:id="44" w:name="bookmark6"/>
      <w:bookmarkEnd w:id="43"/>
      <w:bookmarkEnd w:id="44"/>
      <w:r w:rsidRPr="00512BE3">
        <w:rPr>
          <w:sz w:val="22"/>
          <w:szCs w:val="22"/>
          <w:lang w:val="bs-Latn-BA" w:eastAsia="en-US"/>
        </w:rPr>
        <w:t>U izvještajnom per</w:t>
      </w:r>
      <w:r w:rsidR="007C5B6E" w:rsidRPr="00512BE3">
        <w:rPr>
          <w:sz w:val="22"/>
          <w:szCs w:val="22"/>
          <w:lang w:val="bs-Latn-BA" w:eastAsia="en-US"/>
        </w:rPr>
        <w:t xml:space="preserve">iodu u </w:t>
      </w:r>
      <w:r w:rsidR="00313B2D" w:rsidRPr="00512BE3">
        <w:rPr>
          <w:sz w:val="22"/>
          <w:szCs w:val="22"/>
          <w:lang w:val="bs-Latn-BA" w:eastAsia="en-US"/>
        </w:rPr>
        <w:t>oblasti</w:t>
      </w:r>
      <w:r w:rsidR="007C5B6E" w:rsidRPr="00512BE3">
        <w:rPr>
          <w:sz w:val="22"/>
          <w:szCs w:val="22"/>
          <w:lang w:val="bs-Latn-BA" w:eastAsia="en-US"/>
        </w:rPr>
        <w:t xml:space="preserve"> </w:t>
      </w:r>
      <w:r w:rsidR="007C5B6E" w:rsidRPr="00355691">
        <w:rPr>
          <w:sz w:val="22"/>
          <w:szCs w:val="22"/>
          <w:lang w:val="bs-Latn-BA" w:eastAsia="en-US"/>
        </w:rPr>
        <w:t>komunikacija i međ</w:t>
      </w:r>
      <w:r w:rsidR="00517279" w:rsidRPr="00355691">
        <w:rPr>
          <w:sz w:val="22"/>
          <w:szCs w:val="22"/>
          <w:lang w:val="bs-Latn-BA" w:eastAsia="en-US"/>
        </w:rPr>
        <w:t>unarodne saradnje</w:t>
      </w:r>
      <w:r w:rsidRPr="00512BE3">
        <w:rPr>
          <w:sz w:val="22"/>
          <w:szCs w:val="22"/>
          <w:lang w:val="bs-Latn-BA" w:eastAsia="en-US"/>
        </w:rPr>
        <w:t xml:space="preserve"> </w:t>
      </w:r>
      <w:r w:rsidRPr="00512BE3">
        <w:rPr>
          <w:rStyle w:val="body0020text0020002820029char"/>
          <w:sz w:val="22"/>
          <w:szCs w:val="22"/>
        </w:rPr>
        <w:t>zaprimljeno</w:t>
      </w:r>
      <w:r w:rsidR="00C431A1" w:rsidRPr="00512BE3">
        <w:rPr>
          <w:rStyle w:val="body0020text0020002820029char"/>
          <w:sz w:val="22"/>
          <w:szCs w:val="22"/>
        </w:rPr>
        <w:t xml:space="preserve"> </w:t>
      </w:r>
      <w:r w:rsidRPr="00512BE3">
        <w:rPr>
          <w:rStyle w:val="body0020text0020002820029char"/>
          <w:sz w:val="22"/>
          <w:szCs w:val="22"/>
        </w:rPr>
        <w:t xml:space="preserve">je ukupno </w:t>
      </w:r>
      <w:r w:rsidR="00FB723C" w:rsidRPr="00512BE3">
        <w:rPr>
          <w:sz w:val="22"/>
          <w:szCs w:val="22"/>
          <w:lang w:val="bs-Latn-BA" w:eastAsia="hr-HR"/>
        </w:rPr>
        <w:t>2.530</w:t>
      </w:r>
      <w:r w:rsidR="009C06CD" w:rsidRPr="00512BE3">
        <w:rPr>
          <w:sz w:val="22"/>
          <w:szCs w:val="22"/>
          <w:lang w:val="bs-Latn-BA" w:eastAsia="hr-HR"/>
        </w:rPr>
        <w:t xml:space="preserve"> zahtjeva od strane novinara</w:t>
      </w:r>
      <w:r w:rsidRPr="00512BE3">
        <w:rPr>
          <w:rStyle w:val="body0020text0020002820029char"/>
          <w:sz w:val="22"/>
          <w:szCs w:val="22"/>
        </w:rPr>
        <w:t>,</w:t>
      </w:r>
      <w:r w:rsidR="007C5B6E" w:rsidRPr="00512BE3">
        <w:rPr>
          <w:rStyle w:val="body0020text0020002820029char"/>
          <w:sz w:val="22"/>
          <w:szCs w:val="22"/>
        </w:rPr>
        <w:t xml:space="preserve"> </w:t>
      </w:r>
      <w:r w:rsidR="00A4419F" w:rsidRPr="00512BE3">
        <w:rPr>
          <w:rStyle w:val="body0020text0020002820029char"/>
          <w:sz w:val="22"/>
          <w:szCs w:val="22"/>
        </w:rPr>
        <w:t>koji su uglavnom rješavani istog dana</w:t>
      </w:r>
      <w:r w:rsidR="00BD6F70" w:rsidRPr="00512BE3">
        <w:rPr>
          <w:rStyle w:val="body0020text0020002820029char"/>
          <w:sz w:val="22"/>
          <w:szCs w:val="22"/>
        </w:rPr>
        <w:t xml:space="preserve">, </w:t>
      </w:r>
      <w:r w:rsidR="00FB723C" w:rsidRPr="00512BE3">
        <w:rPr>
          <w:rStyle w:val="body0020text0020002820029char"/>
          <w:sz w:val="22"/>
          <w:szCs w:val="22"/>
        </w:rPr>
        <w:t>a</w:t>
      </w:r>
      <w:r w:rsidRPr="00512BE3">
        <w:rPr>
          <w:rStyle w:val="body0020text0020002820029char"/>
          <w:sz w:val="22"/>
          <w:szCs w:val="22"/>
        </w:rPr>
        <w:t xml:space="preserve"> </w:t>
      </w:r>
      <w:r w:rsidR="00FB723C" w:rsidRPr="00512BE3">
        <w:rPr>
          <w:sz w:val="22"/>
          <w:szCs w:val="22"/>
          <w:lang w:val="bs-Latn-BA"/>
        </w:rPr>
        <w:t xml:space="preserve">organizovane su i </w:t>
      </w:r>
      <w:r w:rsidR="00F746D5">
        <w:rPr>
          <w:sz w:val="22"/>
          <w:szCs w:val="22"/>
          <w:lang w:val="bs-Latn-BA"/>
        </w:rPr>
        <w:t>dvije</w:t>
      </w:r>
      <w:r w:rsidR="00FB723C" w:rsidRPr="00512BE3">
        <w:rPr>
          <w:sz w:val="22"/>
          <w:szCs w:val="22"/>
          <w:lang w:val="bs-Latn-BA"/>
        </w:rPr>
        <w:t xml:space="preserve"> press konferencije koje su obuhvatile Kampanju Stop švercu, i to najavu iste, te predstavljanje rezultata nakon provedene kampanje</w:t>
      </w:r>
      <w:r w:rsidR="00BD6F70" w:rsidRPr="00512BE3">
        <w:rPr>
          <w:sz w:val="22"/>
          <w:szCs w:val="22"/>
          <w:lang w:val="bs-Latn-BA"/>
        </w:rPr>
        <w:t>.</w:t>
      </w:r>
      <w:r w:rsidR="007C5B6E" w:rsidRPr="00512BE3">
        <w:rPr>
          <w:sz w:val="22"/>
          <w:szCs w:val="22"/>
          <w:lang w:val="bs-Latn-BA"/>
        </w:rPr>
        <w:t xml:space="preserve"> U toku prošle godine pripremljeno je </w:t>
      </w:r>
      <w:r w:rsidR="00FB723C" w:rsidRPr="00512BE3">
        <w:rPr>
          <w:sz w:val="22"/>
          <w:szCs w:val="22"/>
          <w:lang w:val="bs-Latn-BA"/>
        </w:rPr>
        <w:t>51 saopštenje</w:t>
      </w:r>
      <w:r w:rsidR="007C5B6E" w:rsidRPr="00512BE3">
        <w:rPr>
          <w:sz w:val="22"/>
          <w:szCs w:val="22"/>
          <w:lang w:val="bs-Latn-BA"/>
        </w:rPr>
        <w:t xml:space="preserve"> za javnost i </w:t>
      </w:r>
      <w:r w:rsidR="00FB723C" w:rsidRPr="00512BE3">
        <w:rPr>
          <w:sz w:val="22"/>
          <w:szCs w:val="22"/>
          <w:lang w:val="bs-Latn-BA"/>
        </w:rPr>
        <w:t>sedam</w:t>
      </w:r>
      <w:r w:rsidR="00056D96" w:rsidRPr="00512BE3">
        <w:rPr>
          <w:sz w:val="22"/>
          <w:szCs w:val="22"/>
          <w:lang w:val="bs-Latn-BA"/>
        </w:rPr>
        <w:t xml:space="preserve"> intervjua za direktora UI</w:t>
      </w:r>
      <w:r w:rsidR="007C5B6E" w:rsidRPr="00512BE3">
        <w:rPr>
          <w:sz w:val="22"/>
          <w:szCs w:val="22"/>
          <w:lang w:val="bs-Latn-BA"/>
        </w:rPr>
        <w:t>O.</w:t>
      </w:r>
      <w:r w:rsidR="00C431A1" w:rsidRPr="00512BE3">
        <w:rPr>
          <w:rStyle w:val="body0020text0020002820029char"/>
          <w:sz w:val="22"/>
          <w:szCs w:val="22"/>
        </w:rPr>
        <w:t xml:space="preserve"> </w:t>
      </w:r>
      <w:r w:rsidR="00C431A1" w:rsidRPr="00512BE3">
        <w:rPr>
          <w:sz w:val="22"/>
          <w:szCs w:val="22"/>
        </w:rPr>
        <w:t>U skladu sa Zakonom o slobodi pristupa informacijama u BiH u</w:t>
      </w:r>
      <w:r w:rsidR="00B574DF" w:rsidRPr="00512BE3">
        <w:rPr>
          <w:sz w:val="22"/>
          <w:szCs w:val="22"/>
        </w:rPr>
        <w:t xml:space="preserve"> toku 202</w:t>
      </w:r>
      <w:r w:rsidR="00FB723C" w:rsidRPr="00512BE3">
        <w:rPr>
          <w:sz w:val="22"/>
          <w:szCs w:val="22"/>
        </w:rPr>
        <w:t>2</w:t>
      </w:r>
      <w:r w:rsidR="00C431A1" w:rsidRPr="00512BE3">
        <w:rPr>
          <w:sz w:val="22"/>
          <w:szCs w:val="22"/>
        </w:rPr>
        <w:t>. godine zaprimljeno je ukupno </w:t>
      </w:r>
      <w:r w:rsidR="00FB723C" w:rsidRPr="00512BE3">
        <w:rPr>
          <w:rStyle w:val="normalchar"/>
          <w:bCs/>
          <w:sz w:val="22"/>
          <w:szCs w:val="22"/>
        </w:rPr>
        <w:t>3</w:t>
      </w:r>
      <w:r w:rsidR="00B574DF" w:rsidRPr="00512BE3">
        <w:rPr>
          <w:rStyle w:val="normalchar"/>
          <w:bCs/>
          <w:sz w:val="22"/>
          <w:szCs w:val="22"/>
        </w:rPr>
        <w:t>4</w:t>
      </w:r>
      <w:r w:rsidR="00C431A1" w:rsidRPr="00512BE3">
        <w:rPr>
          <w:rStyle w:val="normalchar"/>
          <w:bCs/>
          <w:sz w:val="22"/>
          <w:szCs w:val="22"/>
        </w:rPr>
        <w:t xml:space="preserve"> zahtjeva</w:t>
      </w:r>
      <w:r w:rsidR="00C431A1" w:rsidRPr="00512BE3">
        <w:rPr>
          <w:rStyle w:val="normalchar"/>
          <w:b/>
          <w:bCs/>
          <w:sz w:val="22"/>
          <w:szCs w:val="22"/>
        </w:rPr>
        <w:t> </w:t>
      </w:r>
      <w:r w:rsidR="00C431A1" w:rsidRPr="00512BE3">
        <w:rPr>
          <w:sz w:val="22"/>
          <w:szCs w:val="22"/>
        </w:rPr>
        <w:t>za pristup informacijama putem redovne pošte</w:t>
      </w:r>
      <w:r w:rsidR="002F21E1" w:rsidRPr="00512BE3">
        <w:rPr>
          <w:sz w:val="22"/>
          <w:szCs w:val="22"/>
        </w:rPr>
        <w:t>,</w:t>
      </w:r>
      <w:r w:rsidR="00B574DF" w:rsidRPr="00512BE3">
        <w:rPr>
          <w:sz w:val="22"/>
          <w:szCs w:val="22"/>
        </w:rPr>
        <w:t xml:space="preserve"> od čega je </w:t>
      </w:r>
      <w:r w:rsidR="00FB723C" w:rsidRPr="00512BE3">
        <w:rPr>
          <w:sz w:val="22"/>
          <w:szCs w:val="22"/>
        </w:rPr>
        <w:t>31</w:t>
      </w:r>
      <w:r w:rsidR="00C431A1" w:rsidRPr="00512BE3">
        <w:rPr>
          <w:sz w:val="22"/>
          <w:szCs w:val="22"/>
        </w:rPr>
        <w:t xml:space="preserve"> predmet riješen, dok</w:t>
      </w:r>
      <w:r w:rsidR="00B574DF" w:rsidRPr="00512BE3">
        <w:rPr>
          <w:sz w:val="22"/>
          <w:szCs w:val="22"/>
        </w:rPr>
        <w:t xml:space="preserve"> su</w:t>
      </w:r>
      <w:r w:rsidR="00C431A1" w:rsidRPr="00512BE3">
        <w:rPr>
          <w:sz w:val="22"/>
          <w:szCs w:val="22"/>
        </w:rPr>
        <w:t xml:space="preserve"> </w:t>
      </w:r>
      <w:r w:rsidR="00FB723C" w:rsidRPr="00512BE3">
        <w:rPr>
          <w:sz w:val="22"/>
          <w:szCs w:val="22"/>
        </w:rPr>
        <w:t>t</w:t>
      </w:r>
      <w:r w:rsidR="00C431A1" w:rsidRPr="00512BE3">
        <w:rPr>
          <w:sz w:val="22"/>
          <w:szCs w:val="22"/>
        </w:rPr>
        <w:t xml:space="preserve">ri </w:t>
      </w:r>
      <w:r w:rsidR="00B574DF" w:rsidRPr="00512BE3">
        <w:rPr>
          <w:sz w:val="22"/>
          <w:szCs w:val="22"/>
        </w:rPr>
        <w:t>predmeta</w:t>
      </w:r>
      <w:r w:rsidR="00C431A1" w:rsidRPr="00512BE3">
        <w:rPr>
          <w:sz w:val="22"/>
          <w:szCs w:val="22"/>
        </w:rPr>
        <w:t xml:space="preserve"> u fazi rješavanja.</w:t>
      </w:r>
      <w:r w:rsidR="003F1AD8" w:rsidRPr="00512BE3">
        <w:rPr>
          <w:sz w:val="22"/>
          <w:szCs w:val="22"/>
        </w:rPr>
        <w:t xml:space="preserve"> </w:t>
      </w:r>
      <w:r w:rsidR="009C7761" w:rsidRPr="00512BE3">
        <w:rPr>
          <w:sz w:val="22"/>
          <w:szCs w:val="22"/>
          <w:lang w:val="bs-Latn-BA"/>
        </w:rPr>
        <w:t>U oblasti</w:t>
      </w:r>
      <w:r w:rsidR="005D7667" w:rsidRPr="00512BE3">
        <w:rPr>
          <w:sz w:val="22"/>
          <w:szCs w:val="22"/>
          <w:lang w:val="bs-Latn-BA" w:eastAsia="en-US"/>
        </w:rPr>
        <w:t xml:space="preserve"> </w:t>
      </w:r>
      <w:r w:rsidR="008857B6" w:rsidRPr="00512BE3">
        <w:rPr>
          <w:sz w:val="22"/>
          <w:szCs w:val="22"/>
          <w:lang w:val="bs-Latn-BA" w:eastAsia="en-US"/>
        </w:rPr>
        <w:t>informisanj</w:t>
      </w:r>
      <w:r w:rsidR="009C7761" w:rsidRPr="00512BE3">
        <w:rPr>
          <w:sz w:val="22"/>
          <w:szCs w:val="22"/>
          <w:lang w:val="bs-Latn-BA" w:eastAsia="en-US"/>
        </w:rPr>
        <w:t>a</w:t>
      </w:r>
      <w:r w:rsidR="008857B6" w:rsidRPr="00512BE3">
        <w:rPr>
          <w:sz w:val="22"/>
          <w:szCs w:val="22"/>
          <w:lang w:val="bs-Latn-BA" w:eastAsia="en-US"/>
        </w:rPr>
        <w:t xml:space="preserve"> obveznika </w:t>
      </w:r>
      <w:r w:rsidR="008C1C02" w:rsidRPr="00512BE3">
        <w:rPr>
          <w:sz w:val="22"/>
          <w:szCs w:val="22"/>
          <w:lang w:val="bs-Latn-BA" w:eastAsia="en-US"/>
        </w:rPr>
        <w:t>zaprimljen</w:t>
      </w:r>
      <w:r w:rsidR="00F746D5">
        <w:rPr>
          <w:sz w:val="22"/>
          <w:szCs w:val="22"/>
          <w:lang w:val="bs-Latn-BA" w:eastAsia="en-US"/>
        </w:rPr>
        <w:t>o</w:t>
      </w:r>
      <w:r w:rsidR="00983A8C" w:rsidRPr="00512BE3">
        <w:rPr>
          <w:sz w:val="22"/>
          <w:szCs w:val="22"/>
          <w:lang w:val="bs-Latn-BA" w:eastAsia="en-US"/>
        </w:rPr>
        <w:t xml:space="preserve"> </w:t>
      </w:r>
      <w:r w:rsidR="008C1C02" w:rsidRPr="00512BE3">
        <w:rPr>
          <w:sz w:val="22"/>
          <w:szCs w:val="22"/>
          <w:lang w:val="bs-Latn-BA" w:eastAsia="en-US"/>
        </w:rPr>
        <w:t>je</w:t>
      </w:r>
      <w:r w:rsidR="009C7761" w:rsidRPr="00512BE3">
        <w:rPr>
          <w:sz w:val="22"/>
          <w:szCs w:val="22"/>
          <w:lang w:val="bs-Latn-BA" w:eastAsia="en-US"/>
        </w:rPr>
        <w:t xml:space="preserve"> </w:t>
      </w:r>
      <w:r w:rsidR="005D7667" w:rsidRPr="00512BE3">
        <w:rPr>
          <w:sz w:val="22"/>
          <w:szCs w:val="22"/>
          <w:lang w:val="bs-Latn-BA" w:eastAsia="en-US"/>
        </w:rPr>
        <w:t xml:space="preserve">ukupno </w:t>
      </w:r>
      <w:r w:rsidR="00FB723C" w:rsidRPr="00512BE3">
        <w:rPr>
          <w:sz w:val="22"/>
          <w:szCs w:val="22"/>
          <w:lang w:val="bs-Latn-BA"/>
        </w:rPr>
        <w:t>92</w:t>
      </w:r>
      <w:r w:rsidR="00FB723C" w:rsidRPr="00512BE3">
        <w:rPr>
          <w:sz w:val="22"/>
          <w:szCs w:val="22"/>
          <w:lang w:val="bs-Latn-BA" w:eastAsia="en-US"/>
        </w:rPr>
        <w:t xml:space="preserve"> pismena</w:t>
      </w:r>
      <w:r w:rsidR="00313B2D" w:rsidRPr="00512BE3">
        <w:rPr>
          <w:sz w:val="22"/>
          <w:szCs w:val="22"/>
          <w:lang w:val="bs-Latn-BA" w:eastAsia="en-US"/>
        </w:rPr>
        <w:t xml:space="preserve"> zahtjev</w:t>
      </w:r>
      <w:r w:rsidR="00FB723C" w:rsidRPr="00512BE3">
        <w:rPr>
          <w:sz w:val="22"/>
          <w:szCs w:val="22"/>
          <w:lang w:val="bs-Latn-BA" w:eastAsia="en-US"/>
        </w:rPr>
        <w:t>a</w:t>
      </w:r>
      <w:r w:rsidR="008C1C02" w:rsidRPr="00512BE3">
        <w:rPr>
          <w:sz w:val="22"/>
          <w:szCs w:val="22"/>
          <w:lang w:val="bs-Latn-BA" w:eastAsia="en-US"/>
        </w:rPr>
        <w:t xml:space="preserve"> upućen</w:t>
      </w:r>
      <w:r w:rsidR="00FB723C" w:rsidRPr="00512BE3">
        <w:rPr>
          <w:sz w:val="22"/>
          <w:szCs w:val="22"/>
          <w:lang w:val="bs-Latn-BA" w:eastAsia="en-US"/>
        </w:rPr>
        <w:t>a</w:t>
      </w:r>
      <w:r w:rsidR="005D7667" w:rsidRPr="00512BE3">
        <w:rPr>
          <w:sz w:val="22"/>
          <w:szCs w:val="22"/>
          <w:lang w:val="bs-Latn-BA" w:eastAsia="en-US"/>
        </w:rPr>
        <w:t xml:space="preserve"> od strane poreskih obveznika i drugih lica, od čeg</w:t>
      </w:r>
      <w:r w:rsidR="00D045BF" w:rsidRPr="00512BE3">
        <w:rPr>
          <w:sz w:val="22"/>
          <w:szCs w:val="22"/>
          <w:lang w:val="bs-Latn-BA" w:eastAsia="en-US"/>
        </w:rPr>
        <w:t xml:space="preserve">a je u vidu obavještenja </w:t>
      </w:r>
      <w:r w:rsidR="00FB723C" w:rsidRPr="00512BE3">
        <w:rPr>
          <w:sz w:val="22"/>
          <w:szCs w:val="22"/>
          <w:lang w:val="bs-Latn-BA" w:eastAsia="en-US"/>
        </w:rPr>
        <w:t>urađeno</w:t>
      </w:r>
      <w:r w:rsidR="008C1C02" w:rsidRPr="00512BE3">
        <w:rPr>
          <w:sz w:val="22"/>
          <w:szCs w:val="22"/>
          <w:lang w:val="bs-Latn-BA" w:eastAsia="en-US"/>
        </w:rPr>
        <w:t xml:space="preserve"> </w:t>
      </w:r>
      <w:r w:rsidR="00FB723C" w:rsidRPr="00512BE3">
        <w:rPr>
          <w:sz w:val="22"/>
          <w:szCs w:val="22"/>
          <w:lang w:val="bs-Latn-BA" w:eastAsia="en-US"/>
        </w:rPr>
        <w:t>88</w:t>
      </w:r>
      <w:r w:rsidR="00D045BF" w:rsidRPr="00512BE3">
        <w:rPr>
          <w:sz w:val="22"/>
          <w:szCs w:val="22"/>
          <w:lang w:val="bs-Latn-BA" w:eastAsia="en-US"/>
        </w:rPr>
        <w:t xml:space="preserve"> zahtjev</w:t>
      </w:r>
      <w:r w:rsidR="00FB723C" w:rsidRPr="00512BE3">
        <w:rPr>
          <w:sz w:val="22"/>
          <w:szCs w:val="22"/>
          <w:lang w:val="bs-Latn-BA" w:eastAsia="en-US"/>
        </w:rPr>
        <w:t>a</w:t>
      </w:r>
      <w:r w:rsidR="00C56388" w:rsidRPr="00512BE3">
        <w:rPr>
          <w:sz w:val="22"/>
          <w:szCs w:val="22"/>
          <w:lang w:val="bs-Latn-BA" w:eastAsia="en-US"/>
        </w:rPr>
        <w:t xml:space="preserve">, </w:t>
      </w:r>
      <w:r w:rsidR="008C1C02" w:rsidRPr="00512BE3">
        <w:rPr>
          <w:sz w:val="22"/>
          <w:szCs w:val="22"/>
          <w:lang w:val="bs-Latn-BA" w:eastAsia="en-US"/>
        </w:rPr>
        <w:t xml:space="preserve">dok je u toku rad po </w:t>
      </w:r>
      <w:r w:rsidR="00F746D5">
        <w:rPr>
          <w:sz w:val="22"/>
          <w:szCs w:val="22"/>
          <w:lang w:val="bs-Latn-BA" w:eastAsia="en-US"/>
        </w:rPr>
        <w:t>četiri</w:t>
      </w:r>
      <w:r w:rsidR="005D7667" w:rsidRPr="00512BE3">
        <w:rPr>
          <w:sz w:val="22"/>
          <w:szCs w:val="22"/>
          <w:lang w:val="bs-Latn-BA" w:eastAsia="en-US"/>
        </w:rPr>
        <w:t xml:space="preserve"> zahtjev</w:t>
      </w:r>
      <w:r w:rsidR="00C56388" w:rsidRPr="00512BE3">
        <w:rPr>
          <w:sz w:val="22"/>
          <w:szCs w:val="22"/>
          <w:lang w:val="bs-Latn-BA" w:eastAsia="en-US"/>
        </w:rPr>
        <w:t>a</w:t>
      </w:r>
      <w:r w:rsidR="009C7761" w:rsidRPr="00512BE3">
        <w:rPr>
          <w:sz w:val="22"/>
          <w:szCs w:val="22"/>
          <w:lang w:val="bs-Latn-BA" w:eastAsia="en-US"/>
        </w:rPr>
        <w:t>.</w:t>
      </w:r>
      <w:r w:rsidR="00951370" w:rsidRPr="00512BE3">
        <w:rPr>
          <w:sz w:val="22"/>
          <w:szCs w:val="22"/>
          <w:lang w:val="bs-Latn-BA" w:eastAsia="en-US"/>
        </w:rPr>
        <w:t xml:space="preserve"> </w:t>
      </w:r>
      <w:r w:rsidR="001A4AF4" w:rsidRPr="00512BE3">
        <w:rPr>
          <w:sz w:val="22"/>
          <w:szCs w:val="22"/>
        </w:rPr>
        <w:t>U izvještajnom periodu</w:t>
      </w:r>
      <w:r w:rsidR="003F1AD8" w:rsidRPr="00512BE3">
        <w:rPr>
          <w:sz w:val="22"/>
          <w:szCs w:val="22"/>
        </w:rPr>
        <w:t xml:space="preserve"> je riješeno ukupno </w:t>
      </w:r>
      <w:r w:rsidR="00FB723C" w:rsidRPr="00512BE3">
        <w:rPr>
          <w:rStyle w:val="normalchar"/>
          <w:bCs/>
          <w:sz w:val="22"/>
          <w:szCs w:val="22"/>
        </w:rPr>
        <w:t>16.769</w:t>
      </w:r>
      <w:r w:rsidR="001A4AF4" w:rsidRPr="00512BE3">
        <w:rPr>
          <w:rStyle w:val="normalchar"/>
          <w:bCs/>
          <w:sz w:val="22"/>
          <w:szCs w:val="22"/>
        </w:rPr>
        <w:t xml:space="preserve"> </w:t>
      </w:r>
      <w:r w:rsidR="003F1AD8" w:rsidRPr="00512BE3">
        <w:rPr>
          <w:sz w:val="22"/>
          <w:szCs w:val="22"/>
        </w:rPr>
        <w:t>zahtjeva (pismeno, putem e-maila i putem telefona), dok je u istom periodu </w:t>
      </w:r>
      <w:r w:rsidR="00DF7A0B" w:rsidRPr="00512BE3">
        <w:rPr>
          <w:rStyle w:val="normalchar"/>
          <w:bCs/>
          <w:sz w:val="22"/>
          <w:szCs w:val="22"/>
        </w:rPr>
        <w:t>202</w:t>
      </w:r>
      <w:r w:rsidR="00FB723C" w:rsidRPr="00512BE3">
        <w:rPr>
          <w:rStyle w:val="normalchar"/>
          <w:bCs/>
          <w:sz w:val="22"/>
          <w:szCs w:val="22"/>
        </w:rPr>
        <w:t>1</w:t>
      </w:r>
      <w:r w:rsidR="003F1AD8" w:rsidRPr="00512BE3">
        <w:rPr>
          <w:rStyle w:val="normalchar"/>
          <w:bCs/>
          <w:sz w:val="22"/>
          <w:szCs w:val="22"/>
        </w:rPr>
        <w:t>.</w:t>
      </w:r>
      <w:r w:rsidR="003F1AD8" w:rsidRPr="00512BE3">
        <w:rPr>
          <w:sz w:val="22"/>
          <w:szCs w:val="22"/>
        </w:rPr>
        <w:t xml:space="preserve"> godine </w:t>
      </w:r>
      <w:r w:rsidR="003F1AD8" w:rsidRPr="00512BE3">
        <w:rPr>
          <w:sz w:val="22"/>
          <w:szCs w:val="22"/>
        </w:rPr>
        <w:lastRenderedPageBreak/>
        <w:t>ukupno riješeno </w:t>
      </w:r>
      <w:r w:rsidR="001A4AF4" w:rsidRPr="00512BE3">
        <w:rPr>
          <w:rStyle w:val="normalchar"/>
          <w:bCs/>
          <w:sz w:val="22"/>
          <w:szCs w:val="22"/>
        </w:rPr>
        <w:t>1</w:t>
      </w:r>
      <w:r w:rsidR="00FB723C" w:rsidRPr="00512BE3">
        <w:rPr>
          <w:rStyle w:val="normalchar"/>
          <w:bCs/>
          <w:sz w:val="22"/>
          <w:szCs w:val="22"/>
        </w:rPr>
        <w:t>5</w:t>
      </w:r>
      <w:r w:rsidR="001A4AF4" w:rsidRPr="00512BE3">
        <w:rPr>
          <w:rStyle w:val="normalchar"/>
          <w:bCs/>
          <w:sz w:val="22"/>
          <w:szCs w:val="22"/>
        </w:rPr>
        <w:t>.</w:t>
      </w:r>
      <w:r w:rsidR="00FB723C" w:rsidRPr="00512BE3">
        <w:rPr>
          <w:rStyle w:val="normalchar"/>
          <w:bCs/>
          <w:sz w:val="22"/>
          <w:szCs w:val="22"/>
        </w:rPr>
        <w:t>900</w:t>
      </w:r>
      <w:r w:rsidR="001A4AF4" w:rsidRPr="00512BE3">
        <w:rPr>
          <w:rStyle w:val="normalchar"/>
          <w:bCs/>
          <w:sz w:val="22"/>
          <w:szCs w:val="22"/>
        </w:rPr>
        <w:t xml:space="preserve"> </w:t>
      </w:r>
      <w:r w:rsidR="003F1AD8" w:rsidRPr="00512BE3">
        <w:rPr>
          <w:sz w:val="22"/>
          <w:szCs w:val="22"/>
        </w:rPr>
        <w:t>zahtjeva.</w:t>
      </w:r>
      <w:r w:rsidR="00FD4A87" w:rsidRPr="00512BE3">
        <w:rPr>
          <w:sz w:val="22"/>
          <w:szCs w:val="22"/>
        </w:rPr>
        <w:t xml:space="preserve"> Takođe, u saradnji sa Poreskom upravom Švedske, otvoren je prvi Servis centar za sve poreske obveznike u RC Sarajevu.</w:t>
      </w:r>
    </w:p>
    <w:p w14:paraId="533D2797" w14:textId="5F3CE480" w:rsidR="00216B53" w:rsidRPr="00D41C55" w:rsidRDefault="00216B53" w:rsidP="00F746D5">
      <w:pPr>
        <w:pStyle w:val="Normal1"/>
        <w:spacing w:before="0" w:beforeAutospacing="0" w:after="0" w:afterAutospacing="0" w:line="260" w:lineRule="atLeast"/>
        <w:jc w:val="both"/>
        <w:rPr>
          <w:sz w:val="22"/>
          <w:szCs w:val="22"/>
          <w:lang w:val="bs-Latn-BA"/>
        </w:rPr>
      </w:pPr>
      <w:r w:rsidRPr="00D41C55">
        <w:rPr>
          <w:sz w:val="22"/>
          <w:szCs w:val="22"/>
          <w:lang w:val="sr-Latn-RS"/>
        </w:rPr>
        <w:t>U toku 202</w:t>
      </w:r>
      <w:r w:rsidR="002C534F" w:rsidRPr="00D41C55">
        <w:rPr>
          <w:sz w:val="22"/>
          <w:szCs w:val="22"/>
          <w:lang w:val="sr-Latn-RS"/>
        </w:rPr>
        <w:t>2</w:t>
      </w:r>
      <w:r w:rsidRPr="00D41C55">
        <w:rPr>
          <w:sz w:val="22"/>
          <w:szCs w:val="22"/>
          <w:lang w:val="sr-Latn-RS"/>
        </w:rPr>
        <w:t xml:space="preserve">. godine aktivnosti Kabineta direktora </w:t>
      </w:r>
      <w:r w:rsidR="00517279" w:rsidRPr="00D41C55">
        <w:rPr>
          <w:sz w:val="22"/>
          <w:szCs w:val="22"/>
          <w:lang w:val="sr-Latn-RS"/>
        </w:rPr>
        <w:t>UIO</w:t>
      </w:r>
      <w:r w:rsidR="00512A34" w:rsidRPr="00D41C55">
        <w:rPr>
          <w:sz w:val="22"/>
          <w:szCs w:val="22"/>
          <w:lang w:val="sr-Latn-RS"/>
        </w:rPr>
        <w:t>,</w:t>
      </w:r>
      <w:r w:rsidR="002C534F" w:rsidRPr="00D41C55">
        <w:rPr>
          <w:sz w:val="22"/>
          <w:szCs w:val="22"/>
          <w:lang w:val="sr-Latn-RS"/>
        </w:rPr>
        <w:t xml:space="preserve"> su preduzimane u svrhu</w:t>
      </w:r>
      <w:r w:rsidR="002C534F" w:rsidRPr="00D41C55">
        <w:rPr>
          <w:b/>
          <w:i/>
          <w:sz w:val="22"/>
          <w:szCs w:val="22"/>
          <w:lang w:val="sr-Latn-RS"/>
        </w:rPr>
        <w:t xml:space="preserve"> </w:t>
      </w:r>
      <w:r w:rsidR="00512A34" w:rsidRPr="00D41C55">
        <w:rPr>
          <w:sz w:val="22"/>
          <w:szCs w:val="22"/>
          <w:lang w:val="sr-Latn-RS"/>
        </w:rPr>
        <w:t>pružanja stručne i tehničke pomoći u izvršavanju obaveza direktora UIO</w:t>
      </w:r>
      <w:r w:rsidR="00155F24" w:rsidRPr="00D41C55">
        <w:rPr>
          <w:sz w:val="22"/>
          <w:szCs w:val="22"/>
          <w:lang w:val="sr-Latn-RS"/>
        </w:rPr>
        <w:t xml:space="preserve"> i</w:t>
      </w:r>
      <w:r w:rsidRPr="00D41C55">
        <w:rPr>
          <w:sz w:val="22"/>
          <w:szCs w:val="22"/>
          <w:lang w:val="sr-Latn-RS"/>
        </w:rPr>
        <w:t xml:space="preserve"> fokusirane</w:t>
      </w:r>
      <w:r w:rsidR="00155F24" w:rsidRPr="00D41C55">
        <w:rPr>
          <w:sz w:val="22"/>
          <w:szCs w:val="22"/>
          <w:lang w:val="sr-Latn-RS"/>
        </w:rPr>
        <w:t xml:space="preserve"> su</w:t>
      </w:r>
      <w:r w:rsidRPr="00D41C55">
        <w:rPr>
          <w:sz w:val="22"/>
          <w:szCs w:val="22"/>
          <w:lang w:val="sr-Latn-RS"/>
        </w:rPr>
        <w:t xml:space="preserve"> na kontinuirano praćenje jednoobraznog postupanja organizacionih jedinica Uprave, odnosno obezbjeđivanje ujednačenog provođenja istovjetnih poslovnih procesa i obezbjeđivanje međusobne saradnje organizacionih jedinica Uprave</w:t>
      </w:r>
      <w:r w:rsidR="00155F24" w:rsidRPr="00D41C55">
        <w:rPr>
          <w:sz w:val="22"/>
          <w:szCs w:val="22"/>
          <w:lang w:val="sr-Latn-RS"/>
        </w:rPr>
        <w:t>; kao</w:t>
      </w:r>
      <w:r w:rsidRPr="00D41C55">
        <w:rPr>
          <w:sz w:val="22"/>
          <w:szCs w:val="22"/>
          <w:lang w:val="sr-Latn-RS"/>
        </w:rPr>
        <w:t xml:space="preserve"> i koo</w:t>
      </w:r>
      <w:r w:rsidR="00B53BDB" w:rsidRPr="00D41C55">
        <w:rPr>
          <w:sz w:val="22"/>
          <w:szCs w:val="22"/>
          <w:lang w:val="sr-Latn-RS"/>
        </w:rPr>
        <w:t xml:space="preserve">rdinaciju </w:t>
      </w:r>
      <w:r w:rsidR="002C534F" w:rsidRPr="00D41C55">
        <w:rPr>
          <w:sz w:val="22"/>
          <w:szCs w:val="22"/>
          <w:lang w:val="sr-Latn-RS"/>
        </w:rPr>
        <w:t xml:space="preserve">izvršavanja obaveza UIO prema </w:t>
      </w:r>
      <w:r w:rsidR="00B53BDB" w:rsidRPr="00D41C55">
        <w:rPr>
          <w:sz w:val="22"/>
          <w:szCs w:val="22"/>
          <w:lang w:val="sr-Latn-RS"/>
        </w:rPr>
        <w:t>Savjet</w:t>
      </w:r>
      <w:r w:rsidR="002C534F" w:rsidRPr="00D41C55">
        <w:rPr>
          <w:sz w:val="22"/>
          <w:szCs w:val="22"/>
          <w:lang w:val="sr-Latn-RS"/>
        </w:rPr>
        <w:t>u</w:t>
      </w:r>
      <w:r w:rsidR="00B53BDB" w:rsidRPr="00D41C55">
        <w:rPr>
          <w:sz w:val="22"/>
          <w:szCs w:val="22"/>
          <w:lang w:val="sr-Latn-RS"/>
        </w:rPr>
        <w:t xml:space="preserve"> </w:t>
      </w:r>
      <w:r w:rsidRPr="00D41C55">
        <w:rPr>
          <w:sz w:val="22"/>
          <w:szCs w:val="22"/>
          <w:lang w:val="sr-Latn-RS"/>
        </w:rPr>
        <w:t>ministara BiH, Upravn</w:t>
      </w:r>
      <w:r w:rsidR="002C534F" w:rsidRPr="00D41C55">
        <w:rPr>
          <w:sz w:val="22"/>
          <w:szCs w:val="22"/>
          <w:lang w:val="sr-Latn-RS"/>
        </w:rPr>
        <w:t>o</w:t>
      </w:r>
      <w:r w:rsidRPr="00D41C55">
        <w:rPr>
          <w:sz w:val="22"/>
          <w:szCs w:val="22"/>
          <w:lang w:val="sr-Latn-RS"/>
        </w:rPr>
        <w:t xml:space="preserve">m odborom UIO i drugim institucijama. </w:t>
      </w:r>
      <w:r w:rsidR="002C534F" w:rsidRPr="00D41C55">
        <w:rPr>
          <w:sz w:val="22"/>
          <w:szCs w:val="22"/>
          <w:lang w:val="sr-Latn-RS"/>
        </w:rPr>
        <w:t xml:space="preserve">U izvještajnom periodu je održano sedam sastanaka Stručnog kolegija UIO i </w:t>
      </w:r>
      <w:r w:rsidR="00B53BDB" w:rsidRPr="00D41C55">
        <w:rPr>
          <w:sz w:val="22"/>
          <w:szCs w:val="22"/>
          <w:lang w:val="sr-Latn-RS"/>
        </w:rPr>
        <w:t>preduzimane su</w:t>
      </w:r>
      <w:r w:rsidRPr="00D41C55">
        <w:rPr>
          <w:sz w:val="22"/>
          <w:szCs w:val="22"/>
          <w:lang w:val="sr-Latn-RS"/>
        </w:rPr>
        <w:t xml:space="preserve"> aktivnosti </w:t>
      </w:r>
      <w:r w:rsidR="00155F24" w:rsidRPr="00D41C55">
        <w:rPr>
          <w:sz w:val="22"/>
          <w:szCs w:val="22"/>
          <w:lang w:val="sr-Latn-RS"/>
        </w:rPr>
        <w:t>na</w:t>
      </w:r>
      <w:r w:rsidRPr="00D41C55">
        <w:rPr>
          <w:sz w:val="22"/>
          <w:szCs w:val="22"/>
          <w:lang w:val="sr-Latn-RS"/>
        </w:rPr>
        <w:t xml:space="preserve"> </w:t>
      </w:r>
      <w:r w:rsidR="00155F24" w:rsidRPr="00D41C55">
        <w:rPr>
          <w:sz w:val="22"/>
          <w:szCs w:val="22"/>
          <w:lang w:val="sr-Latn-RS"/>
        </w:rPr>
        <w:t xml:space="preserve">kontuniuranom praćenju realizacije zaključaka donesenih na istima, kao i </w:t>
      </w:r>
      <w:r w:rsidRPr="00D41C55">
        <w:rPr>
          <w:sz w:val="22"/>
          <w:szCs w:val="22"/>
          <w:lang w:val="sr-Latn-RS"/>
        </w:rPr>
        <w:t>realizacij</w:t>
      </w:r>
      <w:r w:rsidR="00155F24" w:rsidRPr="00D41C55">
        <w:rPr>
          <w:sz w:val="22"/>
          <w:szCs w:val="22"/>
          <w:lang w:val="sr-Latn-RS"/>
        </w:rPr>
        <w:t>i</w:t>
      </w:r>
      <w:r w:rsidRPr="00D41C55">
        <w:rPr>
          <w:sz w:val="22"/>
          <w:szCs w:val="22"/>
          <w:lang w:val="sr-Latn-RS"/>
        </w:rPr>
        <w:t xml:space="preserve"> preporuka intern</w:t>
      </w:r>
      <w:r w:rsidR="002C534F" w:rsidRPr="00D41C55">
        <w:rPr>
          <w:sz w:val="22"/>
          <w:szCs w:val="22"/>
          <w:lang w:val="sr-Latn-RS"/>
        </w:rPr>
        <w:t>e</w:t>
      </w:r>
      <w:r w:rsidRPr="00D41C55">
        <w:rPr>
          <w:sz w:val="22"/>
          <w:szCs w:val="22"/>
          <w:lang w:val="sr-Latn-RS"/>
        </w:rPr>
        <w:t xml:space="preserve"> reviziju</w:t>
      </w:r>
      <w:r w:rsidR="002C534F" w:rsidRPr="00D41C55">
        <w:rPr>
          <w:sz w:val="22"/>
          <w:szCs w:val="22"/>
          <w:lang w:val="sr-Latn-RS"/>
        </w:rPr>
        <w:t xml:space="preserve"> u vezi sa</w:t>
      </w:r>
      <w:r w:rsidRPr="00D41C55">
        <w:rPr>
          <w:sz w:val="22"/>
          <w:szCs w:val="22"/>
          <w:lang w:val="sr-Latn-RS"/>
        </w:rPr>
        <w:t xml:space="preserve"> izrad</w:t>
      </w:r>
      <w:r w:rsidR="002C534F" w:rsidRPr="00D41C55">
        <w:rPr>
          <w:sz w:val="22"/>
          <w:szCs w:val="22"/>
          <w:lang w:val="sr-Latn-RS"/>
        </w:rPr>
        <w:t xml:space="preserve">om dokumenata </w:t>
      </w:r>
      <w:r w:rsidRPr="00D41C55">
        <w:rPr>
          <w:sz w:val="22"/>
          <w:szCs w:val="22"/>
          <w:lang w:val="sr-Latn-RS"/>
        </w:rPr>
        <w:t>neophodnih za obezbjeđ</w:t>
      </w:r>
      <w:r w:rsidR="00155F24" w:rsidRPr="00D41C55">
        <w:rPr>
          <w:sz w:val="22"/>
          <w:szCs w:val="22"/>
          <w:lang w:val="sr-Latn-RS"/>
        </w:rPr>
        <w:t>ivanje kontinuiteta poslovanja i</w:t>
      </w:r>
      <w:r w:rsidRPr="00D41C55">
        <w:rPr>
          <w:sz w:val="22"/>
          <w:szCs w:val="22"/>
          <w:lang w:val="sr-Latn-RS"/>
        </w:rPr>
        <w:t xml:space="preserve"> realizacij</w:t>
      </w:r>
      <w:r w:rsidR="00155F24" w:rsidRPr="00D41C55">
        <w:rPr>
          <w:sz w:val="22"/>
          <w:szCs w:val="22"/>
          <w:lang w:val="sr-Latn-RS"/>
        </w:rPr>
        <w:t>i</w:t>
      </w:r>
      <w:r w:rsidRPr="00D41C55">
        <w:rPr>
          <w:sz w:val="22"/>
          <w:szCs w:val="22"/>
          <w:lang w:val="sr-Latn-RS"/>
        </w:rPr>
        <w:t xml:space="preserve"> zaključaka Stručne radne grupe za uspostavu i razvoj finansijskog upravljanja i kontrole. </w:t>
      </w:r>
    </w:p>
    <w:p w14:paraId="47E93A1C" w14:textId="6258BF0D" w:rsidR="00A47E06" w:rsidRPr="00D41C55" w:rsidRDefault="00C0701C" w:rsidP="00F746D5">
      <w:pPr>
        <w:pStyle w:val="Normal1"/>
        <w:spacing w:before="0" w:beforeAutospacing="0" w:after="0" w:afterAutospacing="0" w:line="260" w:lineRule="atLeast"/>
        <w:jc w:val="both"/>
        <w:rPr>
          <w:sz w:val="22"/>
          <w:szCs w:val="22"/>
        </w:rPr>
      </w:pPr>
      <w:r w:rsidRPr="00D41C55">
        <w:rPr>
          <w:sz w:val="22"/>
          <w:szCs w:val="22"/>
        </w:rPr>
        <w:t>U oblasti unutrašnje kontrole tokom 202</w:t>
      </w:r>
      <w:r w:rsidR="00155F24" w:rsidRPr="00D41C55">
        <w:rPr>
          <w:sz w:val="22"/>
          <w:szCs w:val="22"/>
        </w:rPr>
        <w:t>2</w:t>
      </w:r>
      <w:r w:rsidRPr="00D41C55">
        <w:rPr>
          <w:sz w:val="22"/>
          <w:szCs w:val="22"/>
        </w:rPr>
        <w:t>. godine</w:t>
      </w:r>
      <w:r w:rsidR="006B6431" w:rsidRPr="00D41C55">
        <w:rPr>
          <w:sz w:val="22"/>
          <w:szCs w:val="22"/>
        </w:rPr>
        <w:t xml:space="preserve"> </w:t>
      </w:r>
      <w:r w:rsidR="00155F24" w:rsidRPr="00D41C55">
        <w:rPr>
          <w:sz w:val="22"/>
          <w:szCs w:val="22"/>
        </w:rPr>
        <w:t xml:space="preserve">postupano je u 46 </w:t>
      </w:r>
      <w:r w:rsidR="00A47E06" w:rsidRPr="00D41C55">
        <w:rPr>
          <w:sz w:val="22"/>
          <w:szCs w:val="22"/>
        </w:rPr>
        <w:t xml:space="preserve">slučajeva </w:t>
      </w:r>
      <w:r w:rsidR="00414161" w:rsidRPr="00D41C55">
        <w:rPr>
          <w:sz w:val="22"/>
          <w:szCs w:val="22"/>
        </w:rPr>
        <w:t>i</w:t>
      </w:r>
      <w:r w:rsidR="00A47E06" w:rsidRPr="00D41C55">
        <w:rPr>
          <w:sz w:val="22"/>
          <w:szCs w:val="22"/>
        </w:rPr>
        <w:t xml:space="preserve"> </w:t>
      </w:r>
      <w:r w:rsidR="006B6431" w:rsidRPr="00D41C55">
        <w:rPr>
          <w:sz w:val="22"/>
          <w:szCs w:val="22"/>
        </w:rPr>
        <w:t xml:space="preserve">sačinjeno </w:t>
      </w:r>
      <w:r w:rsidR="006B6431" w:rsidRPr="00D41C55">
        <w:rPr>
          <w:sz w:val="22"/>
          <w:szCs w:val="22"/>
          <w:lang w:val="hr-HR"/>
        </w:rPr>
        <w:t xml:space="preserve">je </w:t>
      </w:r>
      <w:r w:rsidR="006B6431" w:rsidRPr="00D41C55">
        <w:rPr>
          <w:sz w:val="22"/>
          <w:szCs w:val="22"/>
        </w:rPr>
        <w:t xml:space="preserve">ukupno </w:t>
      </w:r>
      <w:r w:rsidR="00A47E06" w:rsidRPr="00D41C55">
        <w:rPr>
          <w:sz w:val="22"/>
          <w:szCs w:val="22"/>
        </w:rPr>
        <w:t>38</w:t>
      </w:r>
      <w:r w:rsidR="00C60ACA" w:rsidRPr="00D41C55">
        <w:rPr>
          <w:sz w:val="22"/>
          <w:szCs w:val="22"/>
        </w:rPr>
        <w:t xml:space="preserve"> izvještaja o provedenim kontroln</w:t>
      </w:r>
      <w:r w:rsidR="006B6431" w:rsidRPr="00D41C55">
        <w:rPr>
          <w:sz w:val="22"/>
          <w:szCs w:val="22"/>
        </w:rPr>
        <w:t>im aktivnostima</w:t>
      </w:r>
      <w:r w:rsidR="001B076A" w:rsidRPr="00D41C55">
        <w:rPr>
          <w:sz w:val="22"/>
          <w:szCs w:val="22"/>
        </w:rPr>
        <w:t xml:space="preserve"> i</w:t>
      </w:r>
      <w:r w:rsidR="000F08B9" w:rsidRPr="00D41C55">
        <w:rPr>
          <w:sz w:val="22"/>
          <w:szCs w:val="22"/>
        </w:rPr>
        <w:t xml:space="preserve"> u toku je </w:t>
      </w:r>
      <w:r w:rsidRPr="00D41C55">
        <w:rPr>
          <w:sz w:val="22"/>
          <w:szCs w:val="22"/>
        </w:rPr>
        <w:t>rad</w:t>
      </w:r>
      <w:r w:rsidR="000F08B9" w:rsidRPr="00D41C55">
        <w:rPr>
          <w:sz w:val="22"/>
          <w:szCs w:val="22"/>
        </w:rPr>
        <w:t xml:space="preserve"> </w:t>
      </w:r>
      <w:r w:rsidR="006B6431" w:rsidRPr="00D41C55">
        <w:rPr>
          <w:sz w:val="22"/>
          <w:szCs w:val="22"/>
        </w:rPr>
        <w:t xml:space="preserve">na </w:t>
      </w:r>
      <w:r w:rsidR="001B076A" w:rsidRPr="00D41C55">
        <w:rPr>
          <w:sz w:val="22"/>
          <w:szCs w:val="22"/>
        </w:rPr>
        <w:t xml:space="preserve">još </w:t>
      </w:r>
      <w:r w:rsidR="006B6431" w:rsidRPr="00D41C55">
        <w:rPr>
          <w:sz w:val="22"/>
          <w:szCs w:val="22"/>
        </w:rPr>
        <w:t>osam</w:t>
      </w:r>
      <w:r w:rsidR="00C60ACA" w:rsidRPr="00D41C55">
        <w:rPr>
          <w:sz w:val="22"/>
          <w:szCs w:val="22"/>
        </w:rPr>
        <w:t xml:space="preserve"> predmeta</w:t>
      </w:r>
      <w:r w:rsidR="006B6431" w:rsidRPr="00D41C55">
        <w:rPr>
          <w:sz w:val="22"/>
          <w:szCs w:val="22"/>
        </w:rPr>
        <w:t>.</w:t>
      </w:r>
      <w:r w:rsidR="00C60ACA" w:rsidRPr="00D41C55">
        <w:rPr>
          <w:sz w:val="22"/>
          <w:szCs w:val="22"/>
        </w:rPr>
        <w:t xml:space="preserve"> </w:t>
      </w:r>
      <w:r w:rsidR="000F08B9" w:rsidRPr="00D41C55">
        <w:rPr>
          <w:sz w:val="22"/>
          <w:szCs w:val="22"/>
        </w:rPr>
        <w:t xml:space="preserve">U provedenim unutrašnjim kontrolama dati su </w:t>
      </w:r>
      <w:r w:rsidR="009C6DB1" w:rsidRPr="00D41C55">
        <w:rPr>
          <w:sz w:val="22"/>
          <w:szCs w:val="22"/>
        </w:rPr>
        <w:t xml:space="preserve">prijedlozi </w:t>
      </w:r>
      <w:r w:rsidR="00A47E06" w:rsidRPr="00D41C55">
        <w:rPr>
          <w:sz w:val="22"/>
          <w:szCs w:val="22"/>
        </w:rPr>
        <w:t>47</w:t>
      </w:r>
      <w:r w:rsidR="00534254" w:rsidRPr="00D41C55">
        <w:rPr>
          <w:sz w:val="22"/>
          <w:szCs w:val="22"/>
        </w:rPr>
        <w:t xml:space="preserve"> mjera u </w:t>
      </w:r>
      <w:r w:rsidR="00A47E06" w:rsidRPr="00D41C55">
        <w:rPr>
          <w:sz w:val="22"/>
          <w:szCs w:val="22"/>
        </w:rPr>
        <w:t>21</w:t>
      </w:r>
      <w:r w:rsidR="00F622EA" w:rsidRPr="00D41C55">
        <w:rPr>
          <w:sz w:val="22"/>
          <w:szCs w:val="22"/>
        </w:rPr>
        <w:t xml:space="preserve"> predmet</w:t>
      </w:r>
      <w:r w:rsidR="00A47E06" w:rsidRPr="00D41C55">
        <w:rPr>
          <w:sz w:val="22"/>
          <w:szCs w:val="22"/>
        </w:rPr>
        <w:t>u</w:t>
      </w:r>
      <w:r w:rsidR="00F622EA" w:rsidRPr="00D41C55">
        <w:rPr>
          <w:sz w:val="22"/>
          <w:szCs w:val="22"/>
        </w:rPr>
        <w:t xml:space="preserve">, </w:t>
      </w:r>
      <w:r w:rsidR="00534254" w:rsidRPr="00D41C55">
        <w:rPr>
          <w:sz w:val="22"/>
          <w:szCs w:val="22"/>
        </w:rPr>
        <w:t xml:space="preserve">od kojih </w:t>
      </w:r>
      <w:r w:rsidR="00A47E06" w:rsidRPr="00D41C55">
        <w:rPr>
          <w:sz w:val="22"/>
          <w:szCs w:val="22"/>
        </w:rPr>
        <w:t>su provedene 33 mjere, a</w:t>
      </w:r>
      <w:r w:rsidR="00534254" w:rsidRPr="00D41C55">
        <w:rPr>
          <w:sz w:val="22"/>
          <w:szCs w:val="22"/>
        </w:rPr>
        <w:t xml:space="preserve"> za 1</w:t>
      </w:r>
      <w:r w:rsidR="00A47E06" w:rsidRPr="00D41C55">
        <w:rPr>
          <w:sz w:val="22"/>
          <w:szCs w:val="22"/>
        </w:rPr>
        <w:t>4</w:t>
      </w:r>
      <w:r w:rsidR="00F81F22" w:rsidRPr="00D41C55">
        <w:rPr>
          <w:sz w:val="22"/>
          <w:szCs w:val="22"/>
        </w:rPr>
        <w:t xml:space="preserve"> predloženih mjera </w:t>
      </w:r>
      <w:r w:rsidR="00C60ACA" w:rsidRPr="00D41C55">
        <w:rPr>
          <w:sz w:val="22"/>
          <w:szCs w:val="22"/>
        </w:rPr>
        <w:t xml:space="preserve">čeka </w:t>
      </w:r>
      <w:r w:rsidR="00A47E06" w:rsidRPr="00D41C55">
        <w:rPr>
          <w:sz w:val="22"/>
          <w:szCs w:val="22"/>
        </w:rPr>
        <w:t xml:space="preserve">se </w:t>
      </w:r>
      <w:r w:rsidR="00C60ACA" w:rsidRPr="00D41C55">
        <w:rPr>
          <w:sz w:val="22"/>
          <w:szCs w:val="22"/>
        </w:rPr>
        <w:t>povratna informacija od organizacionih jedinica o sprovođenju istih.</w:t>
      </w:r>
      <w:r w:rsidR="00F81F22" w:rsidRPr="00D41C55">
        <w:rPr>
          <w:sz w:val="22"/>
          <w:szCs w:val="22"/>
        </w:rPr>
        <w:t xml:space="preserve"> </w:t>
      </w:r>
      <w:r w:rsidR="00FD2184" w:rsidRPr="00D41C55">
        <w:rPr>
          <w:sz w:val="22"/>
          <w:szCs w:val="22"/>
        </w:rPr>
        <w:t>Takođe u izvještajnom periodu sačinjen</w:t>
      </w:r>
      <w:r w:rsidR="00A47E06" w:rsidRPr="00D41C55">
        <w:rPr>
          <w:sz w:val="22"/>
          <w:szCs w:val="22"/>
        </w:rPr>
        <w:t>e su</w:t>
      </w:r>
      <w:r w:rsidR="00FD2184" w:rsidRPr="00D41C55">
        <w:rPr>
          <w:sz w:val="22"/>
          <w:szCs w:val="22"/>
        </w:rPr>
        <w:t xml:space="preserve"> i dostavljen</w:t>
      </w:r>
      <w:r w:rsidR="00A47E06" w:rsidRPr="00D41C55">
        <w:rPr>
          <w:sz w:val="22"/>
          <w:szCs w:val="22"/>
        </w:rPr>
        <w:t>e</w:t>
      </w:r>
      <w:r w:rsidR="00FD2184" w:rsidRPr="00D41C55">
        <w:rPr>
          <w:sz w:val="22"/>
          <w:szCs w:val="22"/>
        </w:rPr>
        <w:t xml:space="preserve"> direktoru UIO </w:t>
      </w:r>
      <w:r w:rsidR="00A47E06" w:rsidRPr="00D41C55">
        <w:rPr>
          <w:sz w:val="22"/>
          <w:szCs w:val="22"/>
        </w:rPr>
        <w:t>23</w:t>
      </w:r>
      <w:r w:rsidR="00FD2184" w:rsidRPr="00D41C55">
        <w:rPr>
          <w:sz w:val="22"/>
          <w:szCs w:val="22"/>
        </w:rPr>
        <w:t xml:space="preserve"> informacij</w:t>
      </w:r>
      <w:r w:rsidR="00A47E06" w:rsidRPr="00D41C55">
        <w:rPr>
          <w:sz w:val="22"/>
          <w:szCs w:val="22"/>
        </w:rPr>
        <w:t>e</w:t>
      </w:r>
      <w:r w:rsidR="00FD2184" w:rsidRPr="00D41C55">
        <w:rPr>
          <w:sz w:val="22"/>
          <w:szCs w:val="22"/>
        </w:rPr>
        <w:t xml:space="preserve"> o postupanju kontrolisanih organizacionih </w:t>
      </w:r>
      <w:r w:rsidR="00A47E06" w:rsidRPr="00D41C55">
        <w:rPr>
          <w:sz w:val="22"/>
          <w:szCs w:val="22"/>
        </w:rPr>
        <w:t>jedinica po predloženim mjerama</w:t>
      </w:r>
      <w:r w:rsidR="00FD2184" w:rsidRPr="00D41C55">
        <w:rPr>
          <w:sz w:val="22"/>
          <w:szCs w:val="22"/>
        </w:rPr>
        <w:t>.</w:t>
      </w:r>
      <w:r w:rsidR="00F81F22" w:rsidRPr="00D41C55">
        <w:rPr>
          <w:sz w:val="22"/>
          <w:szCs w:val="22"/>
        </w:rPr>
        <w:t>U</w:t>
      </w:r>
      <w:r w:rsidR="00F44876" w:rsidRPr="00D41C55">
        <w:rPr>
          <w:sz w:val="22"/>
          <w:szCs w:val="22"/>
        </w:rPr>
        <w:t xml:space="preserve"> </w:t>
      </w:r>
      <w:r w:rsidR="00D92740" w:rsidRPr="00D41C55">
        <w:rPr>
          <w:sz w:val="22"/>
          <w:szCs w:val="22"/>
        </w:rPr>
        <w:t>jednom predmetu</w:t>
      </w:r>
      <w:r w:rsidR="00A47E06" w:rsidRPr="00D41C55">
        <w:rPr>
          <w:sz w:val="22"/>
          <w:szCs w:val="22"/>
        </w:rPr>
        <w:t xml:space="preserve"> je podnesena disciplinska prijava protiv zaposlenog i u dva predmeta je dat</w:t>
      </w:r>
      <w:r w:rsidR="00F81F22" w:rsidRPr="00D41C55">
        <w:rPr>
          <w:sz w:val="22"/>
          <w:szCs w:val="22"/>
        </w:rPr>
        <w:t xml:space="preserve"> </w:t>
      </w:r>
      <w:r w:rsidR="00F44876" w:rsidRPr="00D41C55">
        <w:rPr>
          <w:sz w:val="22"/>
          <w:szCs w:val="22"/>
        </w:rPr>
        <w:t xml:space="preserve">prijedlog </w:t>
      </w:r>
      <w:r w:rsidR="00A47E06" w:rsidRPr="00D41C55">
        <w:rPr>
          <w:sz w:val="22"/>
          <w:szCs w:val="22"/>
        </w:rPr>
        <w:t xml:space="preserve"> da se pokrene i provede disciplinski postupak iniciran od strane drugih organizacionih jedinica.</w:t>
      </w:r>
    </w:p>
    <w:p w14:paraId="53772089" w14:textId="08DD3FE1" w:rsidR="00C662AF" w:rsidRPr="00D41C55" w:rsidRDefault="00917882" w:rsidP="00F746D5">
      <w:pPr>
        <w:jc w:val="both"/>
        <w:rPr>
          <w:rFonts w:eastAsia="Calibri"/>
          <w:sz w:val="22"/>
          <w:szCs w:val="22"/>
          <w:lang w:val="sr-Latn-RS" w:eastAsia="en-US"/>
        </w:rPr>
      </w:pPr>
      <w:r w:rsidRPr="00D41C55">
        <w:rPr>
          <w:rFonts w:eastAsia="Calibri"/>
          <w:sz w:val="22"/>
          <w:szCs w:val="22"/>
          <w:lang w:val="sr-Latn-RS" w:eastAsia="en-US"/>
        </w:rPr>
        <w:t>U izvještajnom periodu postupa</w:t>
      </w:r>
      <w:r w:rsidR="009C5B1D" w:rsidRPr="00D41C55">
        <w:rPr>
          <w:rFonts w:eastAsia="Calibri"/>
          <w:sz w:val="22"/>
          <w:szCs w:val="22"/>
          <w:lang w:val="sr-Latn-RS" w:eastAsia="en-US"/>
        </w:rPr>
        <w:t xml:space="preserve">no je po </w:t>
      </w:r>
      <w:r w:rsidR="00A47E06" w:rsidRPr="00D41C55">
        <w:rPr>
          <w:rFonts w:eastAsia="Calibri"/>
          <w:sz w:val="22"/>
          <w:szCs w:val="22"/>
          <w:lang w:val="sr-Latn-RS" w:eastAsia="en-US"/>
        </w:rPr>
        <w:t>43</w:t>
      </w:r>
      <w:r w:rsidR="009C5B1D" w:rsidRPr="00D41C55">
        <w:rPr>
          <w:rFonts w:eastAsia="Calibri"/>
          <w:sz w:val="22"/>
          <w:szCs w:val="22"/>
          <w:lang w:val="sr-Latn-RS" w:eastAsia="en-US"/>
        </w:rPr>
        <w:t xml:space="preserve"> primjedbi</w:t>
      </w:r>
      <w:r w:rsidR="00736C88" w:rsidRPr="00D41C55">
        <w:rPr>
          <w:rFonts w:eastAsia="Calibri"/>
          <w:sz w:val="22"/>
          <w:szCs w:val="22"/>
          <w:lang w:val="sr-Latn-RS" w:eastAsia="en-US"/>
        </w:rPr>
        <w:t xml:space="preserve"> </w:t>
      </w:r>
      <w:r w:rsidR="009C5B1D" w:rsidRPr="00D41C55">
        <w:rPr>
          <w:rFonts w:eastAsia="Calibri"/>
          <w:sz w:val="22"/>
          <w:szCs w:val="22"/>
          <w:lang w:val="sr-Latn-RS" w:eastAsia="en-US"/>
        </w:rPr>
        <w:t xml:space="preserve">na ponašanje </w:t>
      </w:r>
      <w:r w:rsidR="00736C88" w:rsidRPr="00D41C55">
        <w:rPr>
          <w:rFonts w:eastAsia="Calibri"/>
          <w:sz w:val="22"/>
          <w:szCs w:val="22"/>
          <w:lang w:val="sr-Latn-RS" w:eastAsia="en-US"/>
        </w:rPr>
        <w:t xml:space="preserve">zaposlenih u UIO, od čega </w:t>
      </w:r>
      <w:r w:rsidR="00A47E06" w:rsidRPr="00D41C55">
        <w:rPr>
          <w:rFonts w:eastAsia="Calibri"/>
          <w:sz w:val="22"/>
          <w:szCs w:val="22"/>
          <w:lang w:val="sr-Latn-RS" w:eastAsia="en-US"/>
        </w:rPr>
        <w:t>je</w:t>
      </w:r>
      <w:r w:rsidR="00736C88" w:rsidRPr="00D41C55">
        <w:rPr>
          <w:rFonts w:eastAsia="Calibri"/>
          <w:sz w:val="22"/>
          <w:szCs w:val="22"/>
          <w:lang w:val="sr-Latn-RS" w:eastAsia="en-US"/>
        </w:rPr>
        <w:t xml:space="preserve"> </w:t>
      </w:r>
      <w:r w:rsidR="00A47E06" w:rsidRPr="00D41C55">
        <w:rPr>
          <w:rFonts w:eastAsia="Calibri"/>
          <w:sz w:val="22"/>
          <w:szCs w:val="22"/>
          <w:lang w:val="sr-Latn-RS" w:eastAsia="en-US"/>
        </w:rPr>
        <w:t>40</w:t>
      </w:r>
      <w:r w:rsidR="00736C88" w:rsidRPr="00D41C55">
        <w:rPr>
          <w:rFonts w:eastAsia="Calibri"/>
          <w:sz w:val="22"/>
          <w:szCs w:val="22"/>
          <w:lang w:val="sr-Latn-RS" w:eastAsia="en-US"/>
        </w:rPr>
        <w:t xml:space="preserve"> primjedb</w:t>
      </w:r>
      <w:r w:rsidR="00A47E06" w:rsidRPr="00D41C55">
        <w:rPr>
          <w:rFonts w:eastAsia="Calibri"/>
          <w:sz w:val="22"/>
          <w:szCs w:val="22"/>
          <w:lang w:val="sr-Latn-RS" w:eastAsia="en-US"/>
        </w:rPr>
        <w:t>i</w:t>
      </w:r>
      <w:r w:rsidR="00736C88" w:rsidRPr="00D41C55">
        <w:rPr>
          <w:rFonts w:eastAsia="Calibri"/>
          <w:sz w:val="22"/>
          <w:szCs w:val="22"/>
          <w:lang w:val="sr-Latn-RS" w:eastAsia="en-US"/>
        </w:rPr>
        <w:t xml:space="preserve"> </w:t>
      </w:r>
      <w:r w:rsidR="00736C88" w:rsidRPr="00D41C55">
        <w:rPr>
          <w:rStyle w:val="normalchar"/>
          <w:sz w:val="22"/>
          <w:szCs w:val="22"/>
        </w:rPr>
        <w:t>riješen</w:t>
      </w:r>
      <w:r w:rsidR="00A47E06" w:rsidRPr="00D41C55">
        <w:rPr>
          <w:rStyle w:val="normalchar"/>
          <w:sz w:val="22"/>
          <w:szCs w:val="22"/>
        </w:rPr>
        <w:t>o</w:t>
      </w:r>
      <w:r w:rsidR="00736C88" w:rsidRPr="00D41C55">
        <w:rPr>
          <w:rStyle w:val="normalchar"/>
          <w:sz w:val="22"/>
          <w:szCs w:val="22"/>
        </w:rPr>
        <w:t xml:space="preserve">, dok je za </w:t>
      </w:r>
      <w:r w:rsidR="00A47E06" w:rsidRPr="00D41C55">
        <w:rPr>
          <w:rStyle w:val="normalchar"/>
          <w:sz w:val="22"/>
          <w:szCs w:val="22"/>
        </w:rPr>
        <w:t>tri</w:t>
      </w:r>
      <w:r w:rsidR="009C5B1D" w:rsidRPr="00D41C55">
        <w:rPr>
          <w:rStyle w:val="normalchar"/>
          <w:sz w:val="22"/>
          <w:szCs w:val="22"/>
        </w:rPr>
        <w:t xml:space="preserve"> preostal</w:t>
      </w:r>
      <w:r w:rsidR="00A47E06" w:rsidRPr="00D41C55">
        <w:rPr>
          <w:rStyle w:val="normalchar"/>
          <w:sz w:val="22"/>
          <w:szCs w:val="22"/>
        </w:rPr>
        <w:t>e</w:t>
      </w:r>
      <w:r w:rsidR="00B57A80" w:rsidRPr="00D41C55">
        <w:rPr>
          <w:rStyle w:val="normalchar"/>
          <w:sz w:val="22"/>
          <w:szCs w:val="22"/>
        </w:rPr>
        <w:t xml:space="preserve"> primjedb</w:t>
      </w:r>
      <w:r w:rsidR="00A47E06" w:rsidRPr="00D41C55">
        <w:rPr>
          <w:rStyle w:val="normalchar"/>
          <w:sz w:val="22"/>
          <w:szCs w:val="22"/>
        </w:rPr>
        <w:t>e</w:t>
      </w:r>
      <w:r w:rsidR="00736C88" w:rsidRPr="00D41C55">
        <w:rPr>
          <w:rStyle w:val="normalchar"/>
          <w:sz w:val="22"/>
          <w:szCs w:val="22"/>
        </w:rPr>
        <w:t xml:space="preserve"> postupak </w:t>
      </w:r>
      <w:r w:rsidR="009C5B1D" w:rsidRPr="00D41C55">
        <w:rPr>
          <w:rStyle w:val="normalchar"/>
          <w:sz w:val="22"/>
          <w:szCs w:val="22"/>
        </w:rPr>
        <w:t>rješavanja</w:t>
      </w:r>
      <w:r w:rsidR="00736C88" w:rsidRPr="00D41C55">
        <w:rPr>
          <w:rStyle w:val="normalchar"/>
          <w:sz w:val="22"/>
          <w:szCs w:val="22"/>
        </w:rPr>
        <w:t xml:space="preserve"> u toku,</w:t>
      </w:r>
      <w:r w:rsidRPr="00D41C55">
        <w:rPr>
          <w:rFonts w:eastAsia="Calibri"/>
          <w:sz w:val="22"/>
          <w:szCs w:val="22"/>
          <w:lang w:val="sr-Latn-RS" w:eastAsia="en-US"/>
        </w:rPr>
        <w:t xml:space="preserve"> a</w:t>
      </w:r>
      <w:r w:rsidR="00736C88" w:rsidRPr="00D41C55">
        <w:rPr>
          <w:rStyle w:val="normalchar"/>
          <w:sz w:val="22"/>
          <w:szCs w:val="22"/>
        </w:rPr>
        <w:t xml:space="preserve"> takođe je postupano po </w:t>
      </w:r>
      <w:r w:rsidR="00A47E06" w:rsidRPr="00D41C55">
        <w:rPr>
          <w:rStyle w:val="normalchar"/>
          <w:sz w:val="22"/>
          <w:szCs w:val="22"/>
        </w:rPr>
        <w:t>pet</w:t>
      </w:r>
      <w:r w:rsidR="009C5B1D" w:rsidRPr="00D41C55">
        <w:rPr>
          <w:rStyle w:val="normalchar"/>
          <w:sz w:val="22"/>
          <w:szCs w:val="22"/>
        </w:rPr>
        <w:t xml:space="preserve"> primjedb</w:t>
      </w:r>
      <w:r w:rsidR="00A47E06" w:rsidRPr="00D41C55">
        <w:rPr>
          <w:rStyle w:val="normalchar"/>
          <w:sz w:val="22"/>
          <w:szCs w:val="22"/>
        </w:rPr>
        <w:t>i</w:t>
      </w:r>
      <w:r w:rsidR="00736C88" w:rsidRPr="00D41C55">
        <w:rPr>
          <w:rStyle w:val="normalchar"/>
          <w:sz w:val="22"/>
          <w:szCs w:val="22"/>
        </w:rPr>
        <w:t xml:space="preserve"> iz ranijeg perioda. </w:t>
      </w:r>
      <w:r w:rsidR="00CC0A65" w:rsidRPr="00D41C55">
        <w:rPr>
          <w:rFonts w:eastAsia="Calibri"/>
          <w:sz w:val="22"/>
          <w:szCs w:val="22"/>
          <w:lang w:val="sr-Latn-RS" w:eastAsia="en-US"/>
        </w:rPr>
        <w:t xml:space="preserve">Od ukupnog broja riješenih primjedbi, u </w:t>
      </w:r>
      <w:r w:rsidR="00A47E06" w:rsidRPr="00D41C55">
        <w:rPr>
          <w:rFonts w:eastAsia="Calibri"/>
          <w:sz w:val="22"/>
          <w:szCs w:val="22"/>
          <w:lang w:val="sr-Latn-RS" w:eastAsia="en-US"/>
        </w:rPr>
        <w:t>11</w:t>
      </w:r>
      <w:r w:rsidR="00CC0A65" w:rsidRPr="00D41C55">
        <w:rPr>
          <w:rFonts w:eastAsia="Calibri"/>
          <w:sz w:val="22"/>
          <w:szCs w:val="22"/>
          <w:lang w:val="sr-Latn-RS" w:eastAsia="en-US"/>
        </w:rPr>
        <w:t xml:space="preserve"> slučajeva je od nadležnih organizacionih jedinica zatraženo preduzimanje radnji na otklanjaju nedostataka i nepr</w:t>
      </w:r>
      <w:r w:rsidR="00A47E06" w:rsidRPr="00D41C55">
        <w:rPr>
          <w:rFonts w:eastAsia="Calibri"/>
          <w:sz w:val="22"/>
          <w:szCs w:val="22"/>
          <w:lang w:val="sr-Latn-RS" w:eastAsia="en-US"/>
        </w:rPr>
        <w:t>avilnosti u radu, od čega je u tri</w:t>
      </w:r>
      <w:r w:rsidR="00CC0A65" w:rsidRPr="00D41C55">
        <w:rPr>
          <w:rFonts w:eastAsia="Calibri"/>
          <w:sz w:val="22"/>
          <w:szCs w:val="22"/>
          <w:lang w:val="sr-Latn-RS" w:eastAsia="en-US"/>
        </w:rPr>
        <w:t xml:space="preserve"> slučaja predloženo preduzimanje radnji na utvrđivanju disciplinske odgovornosti službenika, </w:t>
      </w:r>
      <w:r w:rsidR="00414161" w:rsidRPr="00D41C55">
        <w:rPr>
          <w:rFonts w:eastAsia="Calibri"/>
          <w:sz w:val="22"/>
          <w:szCs w:val="22"/>
          <w:lang w:val="sr-Latn-RS" w:eastAsia="en-US"/>
        </w:rPr>
        <w:t xml:space="preserve">u dva slučaja predloženo </w:t>
      </w:r>
      <w:r w:rsidR="00C7045D" w:rsidRPr="00D41C55">
        <w:rPr>
          <w:rFonts w:eastAsia="Calibri"/>
          <w:sz w:val="22"/>
          <w:szCs w:val="22"/>
          <w:lang w:val="sr-Latn-RS" w:eastAsia="en-US"/>
        </w:rPr>
        <w:t xml:space="preserve">je </w:t>
      </w:r>
      <w:r w:rsidR="00414161" w:rsidRPr="00D41C55">
        <w:rPr>
          <w:rFonts w:eastAsia="Calibri"/>
          <w:sz w:val="22"/>
          <w:szCs w:val="22"/>
          <w:lang w:val="sr-Latn-RS" w:eastAsia="en-US"/>
        </w:rPr>
        <w:t xml:space="preserve">pokretanje </w:t>
      </w:r>
      <w:r w:rsidR="00022415" w:rsidRPr="00D41C55">
        <w:rPr>
          <w:rFonts w:eastAsia="Calibri"/>
          <w:sz w:val="22"/>
          <w:szCs w:val="22"/>
          <w:lang w:val="sr-Latn-RS" w:eastAsia="en-US"/>
        </w:rPr>
        <w:t xml:space="preserve">disciplinskog postupka, </w:t>
      </w:r>
      <w:r w:rsidR="00CC0A65" w:rsidRPr="00D41C55">
        <w:rPr>
          <w:rFonts w:eastAsia="Calibri"/>
          <w:sz w:val="22"/>
          <w:szCs w:val="22"/>
          <w:lang w:val="sr-Latn-RS" w:eastAsia="en-US"/>
        </w:rPr>
        <w:t xml:space="preserve">dok je u jednom slučaju </w:t>
      </w:r>
      <w:r w:rsidR="00022415" w:rsidRPr="00D41C55">
        <w:rPr>
          <w:rFonts w:eastAsia="Calibri"/>
          <w:sz w:val="22"/>
          <w:szCs w:val="22"/>
          <w:lang w:val="sr-Latn-RS" w:eastAsia="en-US"/>
        </w:rPr>
        <w:t xml:space="preserve">od strane rukovodioca osnovne organizacione jedinice podnesen prijedlog za pokretanje disciplinskog postupka i u jednom slučaju je proveden disciplinski postupak i izrečena disciplinska mjera. </w:t>
      </w:r>
    </w:p>
    <w:p w14:paraId="476ABCFB" w14:textId="10D8BF0B" w:rsidR="001863EB" w:rsidRPr="00367A9A" w:rsidRDefault="00512A34" w:rsidP="00F746D5">
      <w:pPr>
        <w:spacing w:after="40"/>
        <w:jc w:val="both"/>
        <w:rPr>
          <w:sz w:val="22"/>
          <w:szCs w:val="22"/>
        </w:rPr>
      </w:pPr>
      <w:r w:rsidRPr="00D41C55">
        <w:rPr>
          <w:sz w:val="22"/>
          <w:szCs w:val="22"/>
        </w:rPr>
        <w:t xml:space="preserve">U izvještajnom periodu </w:t>
      </w:r>
      <w:r w:rsidR="00F02FF2" w:rsidRPr="00D41C55">
        <w:rPr>
          <w:sz w:val="22"/>
          <w:szCs w:val="22"/>
        </w:rPr>
        <w:t xml:space="preserve">UIO </w:t>
      </w:r>
      <w:r w:rsidRPr="00D41C55">
        <w:rPr>
          <w:sz w:val="22"/>
          <w:szCs w:val="22"/>
        </w:rPr>
        <w:t xml:space="preserve">je </w:t>
      </w:r>
      <w:r w:rsidR="00820A9A" w:rsidRPr="00D41C55">
        <w:rPr>
          <w:sz w:val="22"/>
          <w:szCs w:val="22"/>
        </w:rPr>
        <w:t>provodila aktivnosti na izradi i dono</w:t>
      </w:r>
      <w:r w:rsidR="00D41C55">
        <w:rPr>
          <w:sz w:val="22"/>
          <w:szCs w:val="22"/>
        </w:rPr>
        <w:t>šenju strateških dokumenata UIO, o</w:t>
      </w:r>
      <w:r w:rsidR="00022415" w:rsidRPr="00D41C55">
        <w:rPr>
          <w:sz w:val="22"/>
          <w:szCs w:val="22"/>
        </w:rPr>
        <w:t xml:space="preserve">dnosno </w:t>
      </w:r>
      <w:r w:rsidR="00D41C55">
        <w:rPr>
          <w:sz w:val="22"/>
          <w:szCs w:val="22"/>
        </w:rPr>
        <w:t xml:space="preserve">sačinjena je </w:t>
      </w:r>
      <w:r w:rsidR="00022415" w:rsidRPr="00D41C55">
        <w:rPr>
          <w:sz w:val="22"/>
          <w:szCs w:val="22"/>
        </w:rPr>
        <w:t xml:space="preserve">Poslovna strategija UIO za period 2023-2027. godina, </w:t>
      </w:r>
      <w:r w:rsidR="00820A9A" w:rsidRPr="00D41C55">
        <w:rPr>
          <w:sz w:val="22"/>
          <w:szCs w:val="22"/>
        </w:rPr>
        <w:t>Srednjoročni plan rada za period 202</w:t>
      </w:r>
      <w:r w:rsidR="00022415" w:rsidRPr="00D41C55">
        <w:rPr>
          <w:sz w:val="22"/>
          <w:szCs w:val="22"/>
        </w:rPr>
        <w:t>3</w:t>
      </w:r>
      <w:r w:rsidR="00820A9A" w:rsidRPr="00D41C55">
        <w:rPr>
          <w:sz w:val="22"/>
          <w:szCs w:val="22"/>
        </w:rPr>
        <w:t>-202</w:t>
      </w:r>
      <w:r w:rsidR="00022415" w:rsidRPr="00D41C55">
        <w:rPr>
          <w:sz w:val="22"/>
          <w:szCs w:val="22"/>
        </w:rPr>
        <w:t>5</w:t>
      </w:r>
      <w:r w:rsidR="00820A9A" w:rsidRPr="00D41C55">
        <w:rPr>
          <w:sz w:val="22"/>
          <w:szCs w:val="22"/>
        </w:rPr>
        <w:t xml:space="preserve">. </w:t>
      </w:r>
      <w:r w:rsidR="00702280" w:rsidRPr="00D41C55">
        <w:rPr>
          <w:sz w:val="22"/>
          <w:szCs w:val="22"/>
        </w:rPr>
        <w:t>g</w:t>
      </w:r>
      <w:r w:rsidR="00022415" w:rsidRPr="00D41C55">
        <w:rPr>
          <w:sz w:val="22"/>
          <w:szCs w:val="22"/>
        </w:rPr>
        <w:t xml:space="preserve">odina i Program rada za 2023. godinu, od kojih je </w:t>
      </w:r>
      <w:r w:rsidR="00820A9A" w:rsidRPr="00D41C55">
        <w:rPr>
          <w:sz w:val="22"/>
          <w:szCs w:val="22"/>
        </w:rPr>
        <w:t xml:space="preserve">od strane Upravnog odbora </w:t>
      </w:r>
      <w:r w:rsidR="00022415" w:rsidRPr="00D41C55">
        <w:rPr>
          <w:sz w:val="22"/>
          <w:szCs w:val="22"/>
        </w:rPr>
        <w:t xml:space="preserve">odobren </w:t>
      </w:r>
      <w:r w:rsidR="00D41C55">
        <w:rPr>
          <w:sz w:val="22"/>
          <w:szCs w:val="22"/>
        </w:rPr>
        <w:t>jedino</w:t>
      </w:r>
      <w:r w:rsidR="00022415" w:rsidRPr="00D41C55">
        <w:rPr>
          <w:sz w:val="22"/>
          <w:szCs w:val="22"/>
        </w:rPr>
        <w:t xml:space="preserve"> Program rada za 2023. godinu </w:t>
      </w:r>
      <w:r w:rsidR="00820A9A" w:rsidRPr="00D41C55">
        <w:rPr>
          <w:sz w:val="22"/>
          <w:szCs w:val="22"/>
        </w:rPr>
        <w:t>(5</w:t>
      </w:r>
      <w:r w:rsidR="00022415" w:rsidRPr="00D41C55">
        <w:rPr>
          <w:sz w:val="22"/>
          <w:szCs w:val="22"/>
        </w:rPr>
        <w:t>7</w:t>
      </w:r>
      <w:r w:rsidR="00820A9A" w:rsidRPr="00D41C55">
        <w:rPr>
          <w:sz w:val="22"/>
          <w:szCs w:val="22"/>
        </w:rPr>
        <w:t>.sjednica)</w:t>
      </w:r>
      <w:r w:rsidR="00022415" w:rsidRPr="00D41C55">
        <w:rPr>
          <w:sz w:val="22"/>
          <w:szCs w:val="22"/>
        </w:rPr>
        <w:t>, a ostali dokumenti su vraćeni na ponovno razmatranje</w:t>
      </w:r>
      <w:r w:rsidR="00820A9A" w:rsidRPr="00D41C55">
        <w:rPr>
          <w:sz w:val="22"/>
          <w:szCs w:val="22"/>
        </w:rPr>
        <w:t xml:space="preserve">. Provodi se praćenje i blagovremeno </w:t>
      </w:r>
      <w:r w:rsidR="008D5BB9" w:rsidRPr="00D41C55">
        <w:rPr>
          <w:sz w:val="22"/>
          <w:szCs w:val="22"/>
        </w:rPr>
        <w:t>izvješta</w:t>
      </w:r>
      <w:r w:rsidR="00820A9A" w:rsidRPr="00D41C55">
        <w:rPr>
          <w:sz w:val="22"/>
          <w:szCs w:val="22"/>
        </w:rPr>
        <w:t>vanje</w:t>
      </w:r>
      <w:r w:rsidR="008D5BB9" w:rsidRPr="00D41C55">
        <w:rPr>
          <w:sz w:val="22"/>
          <w:szCs w:val="22"/>
        </w:rPr>
        <w:t xml:space="preserve"> o</w:t>
      </w:r>
      <w:r w:rsidR="0094517F" w:rsidRPr="00D41C55">
        <w:rPr>
          <w:sz w:val="22"/>
          <w:szCs w:val="22"/>
        </w:rPr>
        <w:t xml:space="preserve"> realizaci</w:t>
      </w:r>
      <w:r w:rsidR="00820A9A" w:rsidRPr="00D41C55">
        <w:rPr>
          <w:sz w:val="22"/>
          <w:szCs w:val="22"/>
        </w:rPr>
        <w:t>ji srednjoročnog plana rada UIO, kontinuirano su sačinjavane kvartalne informacije o stanju i aktivnostima UIO u svrhu informisanja Upravnog odbora UIO, kao i informacije o realizaciji zaključaka Upravnog odbora UIO</w:t>
      </w:r>
      <w:r w:rsidR="00D41C55">
        <w:rPr>
          <w:sz w:val="22"/>
          <w:szCs w:val="22"/>
        </w:rPr>
        <w:t xml:space="preserve">, te praćenje i </w:t>
      </w:r>
      <w:r w:rsidR="00D41C55" w:rsidRPr="00367A9A">
        <w:rPr>
          <w:sz w:val="22"/>
          <w:szCs w:val="22"/>
        </w:rPr>
        <w:t>infornmisanje o realizaciji zaključaka Savjeta ministara BiH i preporuka Ureda za reviziju institucija BiH</w:t>
      </w:r>
      <w:r w:rsidR="00820A9A" w:rsidRPr="00367A9A">
        <w:rPr>
          <w:sz w:val="22"/>
          <w:szCs w:val="22"/>
        </w:rPr>
        <w:t xml:space="preserve">. </w:t>
      </w:r>
      <w:r w:rsidR="00410FDC" w:rsidRPr="00367A9A">
        <w:rPr>
          <w:sz w:val="22"/>
          <w:szCs w:val="22"/>
          <w:lang w:val="bs-Latn-BA"/>
        </w:rPr>
        <w:t xml:space="preserve">U izvještajnom periodu </w:t>
      </w:r>
      <w:r w:rsidR="00820A9A" w:rsidRPr="00367A9A">
        <w:rPr>
          <w:sz w:val="22"/>
          <w:szCs w:val="22"/>
          <w:lang w:val="bs-Latn-BA"/>
        </w:rPr>
        <w:t xml:space="preserve">UIO je preduzimala aktivnosti na provođenju </w:t>
      </w:r>
      <w:r w:rsidR="00410FDC" w:rsidRPr="00367A9A">
        <w:rPr>
          <w:sz w:val="22"/>
          <w:szCs w:val="22"/>
          <w:lang w:val="bs-Latn-BA"/>
        </w:rPr>
        <w:t>bezbjednosn</w:t>
      </w:r>
      <w:r w:rsidR="00820A9A" w:rsidRPr="00367A9A">
        <w:rPr>
          <w:sz w:val="22"/>
          <w:szCs w:val="22"/>
          <w:lang w:val="bs-Latn-BA"/>
        </w:rPr>
        <w:t xml:space="preserve">ih </w:t>
      </w:r>
      <w:r w:rsidR="00410FDC" w:rsidRPr="00367A9A">
        <w:rPr>
          <w:sz w:val="22"/>
          <w:szCs w:val="22"/>
          <w:lang w:val="bs-Latn-BA"/>
        </w:rPr>
        <w:t>provjer</w:t>
      </w:r>
      <w:r w:rsidR="00820A9A" w:rsidRPr="00367A9A">
        <w:rPr>
          <w:sz w:val="22"/>
          <w:szCs w:val="22"/>
          <w:lang w:val="bs-Latn-BA"/>
        </w:rPr>
        <w:t>a za službenike koji imaju pravo pristupa podacima obilježenim stepenom tajnosti i podnesen je zahtjev za bezbjednosnu provjeru</w:t>
      </w:r>
      <w:r w:rsidR="00410FDC" w:rsidRPr="00367A9A">
        <w:rPr>
          <w:sz w:val="22"/>
          <w:szCs w:val="22"/>
          <w:lang w:val="bs-Latn-BA"/>
        </w:rPr>
        <w:t xml:space="preserve"> za </w:t>
      </w:r>
      <w:r w:rsidR="00022415" w:rsidRPr="00367A9A">
        <w:rPr>
          <w:sz w:val="22"/>
          <w:szCs w:val="22"/>
          <w:lang w:val="bs-Latn-BA"/>
        </w:rPr>
        <w:t>25</w:t>
      </w:r>
      <w:r w:rsidR="00410FDC" w:rsidRPr="00367A9A">
        <w:rPr>
          <w:sz w:val="22"/>
          <w:szCs w:val="22"/>
          <w:lang w:val="bs-Latn-BA"/>
        </w:rPr>
        <w:t xml:space="preserve"> službenika, od čega je za </w:t>
      </w:r>
      <w:r w:rsidR="00022415" w:rsidRPr="00367A9A">
        <w:rPr>
          <w:sz w:val="22"/>
          <w:szCs w:val="22"/>
          <w:lang w:val="bs-Latn-BA"/>
        </w:rPr>
        <w:t>19</w:t>
      </w:r>
      <w:r w:rsidR="00410FDC" w:rsidRPr="00367A9A">
        <w:rPr>
          <w:sz w:val="22"/>
          <w:szCs w:val="22"/>
          <w:lang w:val="bs-Latn-BA"/>
        </w:rPr>
        <w:t xml:space="preserve"> službenika za koje je izvrš</w:t>
      </w:r>
      <w:r w:rsidR="00820A9A" w:rsidRPr="00367A9A">
        <w:rPr>
          <w:sz w:val="22"/>
          <w:szCs w:val="22"/>
          <w:lang w:val="bs-Latn-BA"/>
        </w:rPr>
        <w:t xml:space="preserve">ena provjera od strane OSA BiH, doneseno </w:t>
      </w:r>
      <w:r w:rsidR="00410FDC" w:rsidRPr="00367A9A">
        <w:rPr>
          <w:sz w:val="22"/>
          <w:szCs w:val="22"/>
          <w:lang w:val="bs-Latn-BA"/>
        </w:rPr>
        <w:t>rješenj</w:t>
      </w:r>
      <w:r w:rsidR="00820A9A" w:rsidRPr="00367A9A">
        <w:rPr>
          <w:sz w:val="22"/>
          <w:szCs w:val="22"/>
          <w:lang w:val="bs-Latn-BA"/>
        </w:rPr>
        <w:t>e</w:t>
      </w:r>
      <w:r w:rsidR="00410FDC" w:rsidRPr="00367A9A">
        <w:rPr>
          <w:sz w:val="22"/>
          <w:szCs w:val="22"/>
          <w:lang w:val="bs-Latn-BA"/>
        </w:rPr>
        <w:t xml:space="preserve"> o nepostojanju bezbjednosne smetnje i </w:t>
      </w:r>
      <w:r w:rsidR="00F20262" w:rsidRPr="00367A9A">
        <w:rPr>
          <w:sz w:val="22"/>
          <w:szCs w:val="22"/>
          <w:lang w:val="bs-Latn-BA"/>
        </w:rPr>
        <w:t xml:space="preserve">podneseni </w:t>
      </w:r>
      <w:r w:rsidR="00410FDC" w:rsidRPr="00367A9A">
        <w:rPr>
          <w:sz w:val="22"/>
          <w:szCs w:val="22"/>
          <w:lang w:val="bs-Latn-BA"/>
        </w:rPr>
        <w:t>zahtjev</w:t>
      </w:r>
      <w:r w:rsidR="00F20262" w:rsidRPr="00367A9A">
        <w:rPr>
          <w:sz w:val="22"/>
          <w:szCs w:val="22"/>
          <w:lang w:val="bs-Latn-BA"/>
        </w:rPr>
        <w:t>i</w:t>
      </w:r>
      <w:r w:rsidR="00410FDC" w:rsidRPr="00367A9A">
        <w:rPr>
          <w:sz w:val="22"/>
          <w:szCs w:val="22"/>
          <w:lang w:val="bs-Latn-BA"/>
        </w:rPr>
        <w:t xml:space="preserve"> </w:t>
      </w:r>
      <w:r w:rsidR="00F20262" w:rsidRPr="00367A9A">
        <w:rPr>
          <w:sz w:val="22"/>
          <w:szCs w:val="22"/>
          <w:lang w:val="bs-Latn-BA"/>
        </w:rPr>
        <w:t xml:space="preserve">Ministarstvu bezbjednosti </w:t>
      </w:r>
      <w:r w:rsidR="00410FDC" w:rsidRPr="00367A9A">
        <w:rPr>
          <w:sz w:val="22"/>
          <w:szCs w:val="22"/>
          <w:lang w:val="bs-Latn-BA"/>
        </w:rPr>
        <w:t>za izdavanje i za ob</w:t>
      </w:r>
      <w:r w:rsidR="00677E12" w:rsidRPr="00367A9A">
        <w:rPr>
          <w:sz w:val="22"/>
          <w:szCs w:val="22"/>
          <w:lang w:val="bs-Latn-BA"/>
        </w:rPr>
        <w:t xml:space="preserve">navljanje bezbjednosne dozvole. </w:t>
      </w:r>
      <w:r w:rsidR="00022415" w:rsidRPr="00367A9A">
        <w:rPr>
          <w:sz w:val="22"/>
          <w:szCs w:val="22"/>
          <w:lang w:val="bs-Latn-BA"/>
        </w:rPr>
        <w:t>Takođe, sačinjena su 22</w:t>
      </w:r>
      <w:r w:rsidR="00410FDC" w:rsidRPr="00367A9A">
        <w:rPr>
          <w:sz w:val="22"/>
          <w:szCs w:val="22"/>
          <w:lang w:val="bs-Latn-BA"/>
        </w:rPr>
        <w:t xml:space="preserve"> obavještenja o dobijenoj dozvoli koje je Ministarstvo bezbjednosti izdalo za službenike UIO</w:t>
      </w:r>
      <w:r w:rsidR="008304A1" w:rsidRPr="00367A9A">
        <w:rPr>
          <w:sz w:val="22"/>
          <w:szCs w:val="22"/>
          <w:lang w:val="bs-Latn-BA"/>
        </w:rPr>
        <w:t>.</w:t>
      </w:r>
      <w:r w:rsidR="007A2408" w:rsidRPr="00367A9A">
        <w:rPr>
          <w:noProof/>
          <w:sz w:val="22"/>
          <w:szCs w:val="22"/>
          <w:lang w:val="bs-Latn-BA"/>
        </w:rPr>
        <w:t xml:space="preserve"> </w:t>
      </w:r>
      <w:r w:rsidR="00022415" w:rsidRPr="00367A9A">
        <w:rPr>
          <w:noProof/>
          <w:sz w:val="22"/>
          <w:szCs w:val="22"/>
          <w:lang w:val="bs-Latn-BA"/>
        </w:rPr>
        <w:t xml:space="preserve">Okončane su aktivnosti </w:t>
      </w:r>
      <w:r w:rsidR="00D41C55" w:rsidRPr="00367A9A">
        <w:rPr>
          <w:noProof/>
          <w:sz w:val="22"/>
          <w:szCs w:val="22"/>
          <w:lang w:val="bs-Latn-BA"/>
        </w:rPr>
        <w:t>i donesena sva potrebna podzakonska akta iz oblasti zaštite tajnih podataka za certifikovanje bezbjednosnog područja UIO, te je provedn nadzor od strane Državnog bezbjednosnog organa Ministarstva bezbjednosti BiH i očekuje se dobijanje rješenja o ispunjenosti uslova.</w:t>
      </w:r>
    </w:p>
    <w:p w14:paraId="1C1FA071" w14:textId="6352139D" w:rsidR="00F20262" w:rsidRPr="00367A9A" w:rsidRDefault="00F5114A" w:rsidP="00F746D5">
      <w:pPr>
        <w:spacing w:after="40"/>
        <w:jc w:val="both"/>
        <w:rPr>
          <w:rFonts w:eastAsia="Calibri"/>
          <w:i/>
          <w:sz w:val="22"/>
          <w:szCs w:val="22"/>
          <w:lang w:val="bs-Latn-BA"/>
        </w:rPr>
      </w:pPr>
      <w:r w:rsidRPr="00367A9A">
        <w:rPr>
          <w:rFonts w:eastAsia="Calibri"/>
          <w:sz w:val="22"/>
          <w:szCs w:val="22"/>
          <w:lang w:val="en-GB"/>
        </w:rPr>
        <w:t xml:space="preserve">U </w:t>
      </w:r>
      <w:r w:rsidR="00F20262" w:rsidRPr="00367A9A">
        <w:rPr>
          <w:rFonts w:eastAsia="Calibri"/>
          <w:sz w:val="22"/>
          <w:szCs w:val="22"/>
          <w:lang w:val="en-GB"/>
        </w:rPr>
        <w:t>izvještajnom period</w:t>
      </w:r>
      <w:r w:rsidR="00F515DB" w:rsidRPr="00367A9A">
        <w:rPr>
          <w:rFonts w:eastAsia="Calibri"/>
          <w:sz w:val="22"/>
          <w:szCs w:val="22"/>
          <w:lang w:val="en-GB"/>
        </w:rPr>
        <w:t>u</w:t>
      </w:r>
      <w:r w:rsidR="00F20262" w:rsidRPr="00367A9A">
        <w:rPr>
          <w:rFonts w:eastAsia="Calibri"/>
          <w:sz w:val="22"/>
          <w:szCs w:val="22"/>
          <w:lang w:val="en-GB"/>
        </w:rPr>
        <w:t xml:space="preserve"> u UIO je </w:t>
      </w:r>
      <w:r w:rsidRPr="00367A9A">
        <w:rPr>
          <w:rFonts w:eastAsia="Calibri"/>
          <w:sz w:val="22"/>
          <w:szCs w:val="22"/>
          <w:lang w:val="bs-Latn-BA"/>
        </w:rPr>
        <w:t>u skladu sa Planom i programo</w:t>
      </w:r>
      <w:r w:rsidR="008D4318" w:rsidRPr="00367A9A">
        <w:rPr>
          <w:rFonts w:eastAsia="Calibri"/>
          <w:sz w:val="22"/>
          <w:szCs w:val="22"/>
          <w:lang w:val="bs-Latn-BA"/>
        </w:rPr>
        <w:t>m obuka zaposlenih u UIO za 2022</w:t>
      </w:r>
      <w:r w:rsidRPr="00367A9A">
        <w:rPr>
          <w:rFonts w:eastAsia="Calibri"/>
          <w:sz w:val="22"/>
          <w:szCs w:val="22"/>
          <w:lang w:val="bs-Latn-BA"/>
        </w:rPr>
        <w:t>. godinu</w:t>
      </w:r>
      <w:r w:rsidRPr="00367A9A">
        <w:rPr>
          <w:rFonts w:eastAsia="Calibri"/>
          <w:i/>
          <w:sz w:val="22"/>
          <w:szCs w:val="22"/>
          <w:lang w:val="bs-Latn-BA"/>
        </w:rPr>
        <w:t xml:space="preserve"> </w:t>
      </w:r>
      <w:r w:rsidR="00F20262" w:rsidRPr="00367A9A">
        <w:rPr>
          <w:rFonts w:eastAsia="Calibri"/>
          <w:sz w:val="22"/>
          <w:szCs w:val="22"/>
          <w:lang w:val="bs-Latn-BA"/>
        </w:rPr>
        <w:t>provedeno 2</w:t>
      </w:r>
      <w:r w:rsidR="008D4318" w:rsidRPr="00367A9A">
        <w:rPr>
          <w:rFonts w:eastAsia="Calibri"/>
          <w:sz w:val="22"/>
          <w:szCs w:val="22"/>
          <w:lang w:val="bs-Latn-BA"/>
        </w:rPr>
        <w:t>92</w:t>
      </w:r>
      <w:r w:rsidR="00F20262" w:rsidRPr="00367A9A">
        <w:rPr>
          <w:rFonts w:eastAsia="Calibri"/>
          <w:sz w:val="22"/>
          <w:szCs w:val="22"/>
          <w:lang w:val="bs-Latn-BA"/>
        </w:rPr>
        <w:t xml:space="preserve"> o</w:t>
      </w:r>
      <w:r w:rsidR="008D4318" w:rsidRPr="00367A9A">
        <w:rPr>
          <w:rFonts w:eastAsia="Calibri"/>
          <w:sz w:val="22"/>
          <w:szCs w:val="22"/>
          <w:lang w:val="bs-Latn-BA"/>
        </w:rPr>
        <w:t>buke</w:t>
      </w:r>
      <w:r w:rsidR="00E6446E" w:rsidRPr="00367A9A">
        <w:rPr>
          <w:rFonts w:eastAsia="Calibri"/>
          <w:sz w:val="22"/>
          <w:szCs w:val="22"/>
          <w:lang w:val="bs-Latn-BA"/>
        </w:rPr>
        <w:t xml:space="preserve"> koje je pohađalo ukupno </w:t>
      </w:r>
      <w:r w:rsidR="008D4318" w:rsidRPr="00367A9A">
        <w:rPr>
          <w:rFonts w:eastAsia="Calibri"/>
          <w:sz w:val="22"/>
          <w:szCs w:val="22"/>
          <w:lang w:val="bs-Latn-BA"/>
        </w:rPr>
        <w:t>3.338</w:t>
      </w:r>
      <w:r w:rsidR="00F20262" w:rsidRPr="00367A9A">
        <w:rPr>
          <w:rFonts w:eastAsia="Calibri"/>
          <w:sz w:val="22"/>
          <w:szCs w:val="22"/>
          <w:lang w:val="bs-Latn-BA"/>
        </w:rPr>
        <w:t xml:space="preserve"> polaznika, od čega 2</w:t>
      </w:r>
      <w:r w:rsidR="008D4318" w:rsidRPr="00367A9A">
        <w:rPr>
          <w:rFonts w:eastAsia="Calibri"/>
          <w:sz w:val="22"/>
          <w:szCs w:val="22"/>
          <w:lang w:val="bs-Latn-BA"/>
        </w:rPr>
        <w:t xml:space="preserve">5 </w:t>
      </w:r>
      <w:r w:rsidR="00F20262" w:rsidRPr="00367A9A">
        <w:rPr>
          <w:rFonts w:eastAsia="Calibri"/>
          <w:sz w:val="22"/>
          <w:szCs w:val="22"/>
          <w:lang w:val="bs-Latn-BA"/>
        </w:rPr>
        <w:t>internih obuka koje su pohađala 1.</w:t>
      </w:r>
      <w:r w:rsidR="008D4318" w:rsidRPr="00367A9A">
        <w:rPr>
          <w:rFonts w:eastAsia="Calibri"/>
          <w:sz w:val="22"/>
          <w:szCs w:val="22"/>
          <w:lang w:val="bs-Latn-BA"/>
        </w:rPr>
        <w:t>836</w:t>
      </w:r>
      <w:r w:rsidR="00F20262" w:rsidRPr="00367A9A">
        <w:rPr>
          <w:rFonts w:eastAsia="Calibri"/>
          <w:sz w:val="22"/>
          <w:szCs w:val="22"/>
          <w:lang w:val="bs-Latn-BA"/>
        </w:rPr>
        <w:t xml:space="preserve"> polaznika</w:t>
      </w:r>
      <w:r w:rsidR="004648B1" w:rsidRPr="00367A9A">
        <w:rPr>
          <w:rFonts w:eastAsia="Calibri"/>
          <w:sz w:val="22"/>
          <w:szCs w:val="22"/>
          <w:lang w:val="bs-Latn-BA"/>
        </w:rPr>
        <w:t>, 17 interno/eksterni obuka</w:t>
      </w:r>
      <w:r w:rsidR="00F20262" w:rsidRPr="00367A9A">
        <w:rPr>
          <w:rFonts w:eastAsia="Calibri"/>
          <w:sz w:val="22"/>
          <w:szCs w:val="22"/>
          <w:lang w:val="bs-Latn-BA"/>
        </w:rPr>
        <w:t xml:space="preserve"> koje su pohađala </w:t>
      </w:r>
      <w:r w:rsidR="004648B1" w:rsidRPr="00367A9A">
        <w:rPr>
          <w:rFonts w:eastAsia="Calibri"/>
          <w:sz w:val="22"/>
          <w:szCs w:val="22"/>
          <w:lang w:val="bs-Latn-BA"/>
        </w:rPr>
        <w:t>327</w:t>
      </w:r>
      <w:r w:rsidR="00F20262" w:rsidRPr="00367A9A">
        <w:rPr>
          <w:rFonts w:eastAsia="Calibri"/>
          <w:sz w:val="22"/>
          <w:szCs w:val="22"/>
          <w:lang w:val="bs-Latn-BA"/>
        </w:rPr>
        <w:t xml:space="preserve"> polaznika i 2</w:t>
      </w:r>
      <w:r w:rsidR="004648B1" w:rsidRPr="00367A9A">
        <w:rPr>
          <w:rFonts w:eastAsia="Calibri"/>
          <w:sz w:val="22"/>
          <w:szCs w:val="22"/>
          <w:lang w:val="bs-Latn-BA"/>
        </w:rPr>
        <w:t xml:space="preserve">50 </w:t>
      </w:r>
      <w:r w:rsidR="00F20262" w:rsidRPr="00367A9A">
        <w:rPr>
          <w:rFonts w:eastAsia="Calibri"/>
          <w:sz w:val="22"/>
          <w:szCs w:val="22"/>
          <w:lang w:val="bs-Latn-BA"/>
        </w:rPr>
        <w:t xml:space="preserve">eksternih obuka koje su pohađala </w:t>
      </w:r>
      <w:r w:rsidR="004648B1" w:rsidRPr="00367A9A">
        <w:rPr>
          <w:rFonts w:eastAsia="Calibri"/>
          <w:sz w:val="22"/>
          <w:szCs w:val="22"/>
          <w:lang w:val="bs-Latn-BA"/>
        </w:rPr>
        <w:t>1.176</w:t>
      </w:r>
      <w:r w:rsidR="00F20262" w:rsidRPr="00367A9A">
        <w:rPr>
          <w:rFonts w:eastAsia="Calibri"/>
          <w:sz w:val="22"/>
          <w:szCs w:val="22"/>
          <w:lang w:val="bs-Latn-BA"/>
        </w:rPr>
        <w:t xml:space="preserve"> polaznika. </w:t>
      </w:r>
    </w:p>
    <w:p w14:paraId="018FB84B" w14:textId="270C55E0" w:rsidR="0068372E" w:rsidRDefault="009F1BED" w:rsidP="005E7893">
      <w:pPr>
        <w:spacing w:after="40"/>
        <w:jc w:val="both"/>
        <w:rPr>
          <w:sz w:val="22"/>
          <w:szCs w:val="22"/>
          <w:lang w:val="it-IT"/>
        </w:rPr>
      </w:pPr>
      <w:r w:rsidRPr="00367A9A">
        <w:rPr>
          <w:rFonts w:eastAsia="Calibri"/>
          <w:sz w:val="22"/>
          <w:szCs w:val="22"/>
          <w:lang w:val="sv-SE" w:eastAsia="en-US"/>
        </w:rPr>
        <w:t xml:space="preserve"> </w:t>
      </w:r>
      <w:r w:rsidR="00F5114A" w:rsidRPr="00367A9A">
        <w:rPr>
          <w:rFonts w:eastAsia="Calibri"/>
          <w:sz w:val="22"/>
          <w:szCs w:val="22"/>
          <w:lang w:val="sv-SE" w:eastAsia="en-US"/>
        </w:rPr>
        <w:t xml:space="preserve">Poslove iz zakonom utvrđene nadležnosti </w:t>
      </w:r>
      <w:r w:rsidR="004648B1" w:rsidRPr="00367A9A">
        <w:rPr>
          <w:rFonts w:eastAsia="Calibri"/>
          <w:sz w:val="22"/>
          <w:szCs w:val="22"/>
          <w:lang w:eastAsia="en-US"/>
        </w:rPr>
        <w:t>UIO je u 2022</w:t>
      </w:r>
      <w:r w:rsidR="00F5114A" w:rsidRPr="00367A9A">
        <w:rPr>
          <w:rFonts w:eastAsia="Calibri"/>
          <w:sz w:val="22"/>
          <w:szCs w:val="22"/>
          <w:lang w:eastAsia="en-US"/>
        </w:rPr>
        <w:t>. godini obavljala</w:t>
      </w:r>
      <w:r w:rsidR="00F5114A" w:rsidRPr="00367A9A">
        <w:rPr>
          <w:rFonts w:eastAsia="Calibri"/>
          <w:sz w:val="22"/>
          <w:szCs w:val="22"/>
          <w:lang w:val="sv-SE" w:eastAsia="en-US"/>
        </w:rPr>
        <w:t xml:space="preserve"> sa ukupno </w:t>
      </w:r>
      <w:r w:rsidR="004648B1" w:rsidRPr="00367A9A">
        <w:rPr>
          <w:rFonts w:eastAsia="Calibri"/>
          <w:sz w:val="22"/>
          <w:szCs w:val="22"/>
          <w:lang w:val="en-GB" w:eastAsia="en-US"/>
        </w:rPr>
        <w:t>2.393</w:t>
      </w:r>
      <w:r w:rsidR="00F5114A" w:rsidRPr="00367A9A">
        <w:rPr>
          <w:rFonts w:eastAsia="Calibri"/>
          <w:sz w:val="22"/>
          <w:szCs w:val="22"/>
          <w:lang w:val="en-GB" w:eastAsia="en-US"/>
        </w:rPr>
        <w:t xml:space="preserve"> zaposlenih (</w:t>
      </w:r>
      <w:r w:rsidR="004648B1" w:rsidRPr="00367A9A">
        <w:rPr>
          <w:rFonts w:eastAsia="Calibri"/>
          <w:sz w:val="22"/>
          <w:szCs w:val="22"/>
          <w:lang w:val="en-GB" w:eastAsia="en-US"/>
        </w:rPr>
        <w:t>2</w:t>
      </w:r>
      <w:r w:rsidR="005678A5" w:rsidRPr="00367A9A">
        <w:rPr>
          <w:rFonts w:eastAsia="Calibri"/>
          <w:sz w:val="22"/>
          <w:szCs w:val="22"/>
          <w:lang w:val="en-GB" w:eastAsia="en-US"/>
        </w:rPr>
        <w:t>.</w:t>
      </w:r>
      <w:r w:rsidR="004648B1" w:rsidRPr="00367A9A">
        <w:rPr>
          <w:rFonts w:eastAsia="Calibri"/>
          <w:sz w:val="22"/>
          <w:szCs w:val="22"/>
          <w:lang w:val="en-GB" w:eastAsia="en-US"/>
        </w:rPr>
        <w:t>384 u organizacionim jedinicama</w:t>
      </w:r>
      <w:r w:rsidR="004648B1" w:rsidRPr="00512BE3">
        <w:rPr>
          <w:rFonts w:eastAsia="Calibri"/>
          <w:sz w:val="22"/>
          <w:szCs w:val="22"/>
          <w:lang w:val="en-GB" w:eastAsia="en-US"/>
        </w:rPr>
        <w:t xml:space="preserve"> UIO i 9 u organizacionim jedinicama UO UIO</w:t>
      </w:r>
      <w:r w:rsidR="00F5114A" w:rsidRPr="00512BE3">
        <w:rPr>
          <w:rFonts w:eastAsia="Calibri"/>
          <w:sz w:val="22"/>
          <w:szCs w:val="22"/>
          <w:lang w:val="en-GB" w:eastAsia="en-US"/>
        </w:rPr>
        <w:t>)</w:t>
      </w:r>
      <w:r w:rsidR="004648B1" w:rsidRPr="00512BE3">
        <w:rPr>
          <w:rFonts w:eastAsia="Calibri"/>
          <w:sz w:val="22"/>
          <w:szCs w:val="22"/>
          <w:lang w:val="bs-Latn-BA" w:eastAsia="en-US"/>
        </w:rPr>
        <w:t>, 2.132 državnih službenika i zaposlenika je u radnom odnosu na neodređeno vrijeme i 261 zaposlenika na određeno vrijeme. Od ukupnog broja zaposlenih u UIO, 1.954 (81,96%) je zaposleno u regionalnim centrima, a 430 (18,04%) u Središnjem uredu Banja Luka.</w:t>
      </w:r>
      <w:r w:rsidR="00F5114A" w:rsidRPr="00512BE3">
        <w:rPr>
          <w:rFonts w:eastAsia="Calibri"/>
          <w:sz w:val="22"/>
          <w:szCs w:val="22"/>
          <w:lang w:val="bs-Latn-BA" w:eastAsia="en-US"/>
        </w:rPr>
        <w:t xml:space="preserve"> </w:t>
      </w:r>
      <w:r w:rsidR="00E03901" w:rsidRPr="00512BE3">
        <w:rPr>
          <w:rFonts w:eastAsia="Calibri"/>
          <w:sz w:val="22"/>
          <w:szCs w:val="22"/>
          <w:lang w:val="bs-Latn-BA" w:eastAsia="en-US"/>
        </w:rPr>
        <w:t>Prema nacionalnoj strukturi, UIO i UO UIO stalno je zaposleno 865 Bošnjaka ili 40,57%, Srba 803 ili 37,66%, Hrvata 456 ili 21,39% i 8 zaposlenih koji se izjašnjavaju kao ostali ili neopredjeljeni, što je 0,38%. Prema polnoj strukturi stalno zaposlenih, 1.202 ili 56,38% su muškarci, dok je od ukupnog broja stalno zaposlenih 930 ili 43,62% žena.</w:t>
      </w:r>
      <w:r w:rsidR="007B6CB6" w:rsidRPr="00512BE3">
        <w:rPr>
          <w:rFonts w:eastAsia="Calibri"/>
          <w:sz w:val="22"/>
          <w:szCs w:val="22"/>
          <w:lang w:val="bs-Latn-BA" w:eastAsia="en-US"/>
        </w:rPr>
        <w:t xml:space="preserve"> </w:t>
      </w:r>
      <w:r w:rsidR="00033E77" w:rsidRPr="00512BE3">
        <w:rPr>
          <w:sz w:val="22"/>
          <w:szCs w:val="22"/>
          <w:lang w:val="bs-Latn-BA"/>
        </w:rPr>
        <w:t xml:space="preserve">U </w:t>
      </w:r>
      <w:r w:rsidR="00033E77" w:rsidRPr="00512BE3">
        <w:rPr>
          <w:sz w:val="22"/>
          <w:szCs w:val="22"/>
          <w:lang w:val="en-GB"/>
        </w:rPr>
        <w:t xml:space="preserve">UIO i </w:t>
      </w:r>
      <w:r w:rsidR="00033E77" w:rsidRPr="00512BE3">
        <w:rPr>
          <w:bCs/>
          <w:sz w:val="22"/>
          <w:szCs w:val="22"/>
          <w:lang w:val="en-GB"/>
        </w:rPr>
        <w:t>U</w:t>
      </w:r>
      <w:r w:rsidRPr="00512BE3">
        <w:rPr>
          <w:bCs/>
          <w:sz w:val="22"/>
          <w:szCs w:val="22"/>
          <w:lang w:val="en-GB"/>
        </w:rPr>
        <w:t>pravnom odboru</w:t>
      </w:r>
      <w:r w:rsidR="00033E77" w:rsidRPr="00512BE3">
        <w:rPr>
          <w:bCs/>
          <w:sz w:val="22"/>
          <w:szCs w:val="22"/>
          <w:lang w:val="en-GB"/>
        </w:rPr>
        <w:t xml:space="preserve"> UIO</w:t>
      </w:r>
      <w:r w:rsidR="00033E77" w:rsidRPr="00512BE3">
        <w:rPr>
          <w:sz w:val="22"/>
          <w:szCs w:val="22"/>
          <w:lang w:val="bs-Latn-BA"/>
        </w:rPr>
        <w:t xml:space="preserve">, prema stepenu stručne spreme propisanom za sistematizovana radna mjesta, poslove sa visokom stručnom spremom obavljala su </w:t>
      </w:r>
      <w:r w:rsidR="00E03901" w:rsidRPr="00512BE3">
        <w:rPr>
          <w:sz w:val="22"/>
          <w:szCs w:val="22"/>
          <w:lang w:val="bs-Latn-BA"/>
        </w:rPr>
        <w:t xml:space="preserve">1.094 stalno zaposlena ili 51,31%, sa višom </w:t>
      </w:r>
      <w:r w:rsidR="00E03901" w:rsidRPr="00512BE3">
        <w:rPr>
          <w:sz w:val="22"/>
          <w:szCs w:val="22"/>
          <w:lang w:val="bs-Latn-BA"/>
        </w:rPr>
        <w:lastRenderedPageBreak/>
        <w:t>stručnom spremom 373 stalno zaposlena ili 17,50%, sa srednjom stručnom spremom V stepen obrazovanja (VKV zanimanje) 2 stalno zaposlena ili 0,09%, sa srednjom stručnom spremom IV stepena obrazovanja 639 stalno zaposlenih ili 29,97%, sa srednjom školom III stepena obrazovanja (KV zanimanja) 11 stalno zaposlenih ili 0,52%, te poslove za koje je predviđena osnovna škola 13 stalno zaposleni ili 0,61%.</w:t>
      </w:r>
      <w:r w:rsidR="005E7893">
        <w:rPr>
          <w:sz w:val="22"/>
          <w:szCs w:val="22"/>
          <w:lang w:val="bs-Latn-BA"/>
        </w:rPr>
        <w:t xml:space="preserve"> </w:t>
      </w:r>
      <w:r w:rsidR="00107DB4" w:rsidRPr="00512BE3">
        <w:rPr>
          <w:sz w:val="22"/>
          <w:szCs w:val="22"/>
          <w:lang w:val="it-IT"/>
        </w:rPr>
        <w:t>U toku izvještajnog perioda uslijedio je prestanak radnog odnosa za 1</w:t>
      </w:r>
      <w:r w:rsidR="00E03901" w:rsidRPr="00512BE3">
        <w:rPr>
          <w:sz w:val="22"/>
          <w:szCs w:val="22"/>
          <w:lang w:val="it-IT"/>
        </w:rPr>
        <w:t>4</w:t>
      </w:r>
      <w:r w:rsidR="00107DB4" w:rsidRPr="00512BE3">
        <w:rPr>
          <w:sz w:val="22"/>
          <w:szCs w:val="22"/>
          <w:lang w:val="it-IT"/>
        </w:rPr>
        <w:t xml:space="preserve">6 zaposlenih po različitim osnovima, a što je iskazano u tabelarnom pregledu u </w:t>
      </w:r>
      <w:r w:rsidR="00107DB4" w:rsidRPr="00CE5778">
        <w:rPr>
          <w:i/>
          <w:sz w:val="22"/>
          <w:szCs w:val="22"/>
          <w:lang w:val="it-IT"/>
        </w:rPr>
        <w:t>T</w:t>
      </w:r>
      <w:r w:rsidR="00056D2B" w:rsidRPr="00512BE3">
        <w:rPr>
          <w:i/>
          <w:sz w:val="22"/>
          <w:szCs w:val="22"/>
          <w:lang w:val="it-IT"/>
        </w:rPr>
        <w:t>abeli 2</w:t>
      </w:r>
      <w:r w:rsidR="00CE5778">
        <w:rPr>
          <w:i/>
          <w:sz w:val="22"/>
          <w:szCs w:val="22"/>
          <w:lang w:val="it-IT"/>
        </w:rPr>
        <w:t>5</w:t>
      </w:r>
      <w:r w:rsidR="00350D68">
        <w:rPr>
          <w:sz w:val="22"/>
          <w:szCs w:val="22"/>
          <w:lang w:val="it-IT"/>
        </w:rPr>
        <w:t>.</w:t>
      </w:r>
    </w:p>
    <w:p w14:paraId="1F473FC7" w14:textId="77777777" w:rsidR="00180078" w:rsidRPr="00512BE3" w:rsidRDefault="00180078" w:rsidP="005E7893">
      <w:pPr>
        <w:spacing w:after="40"/>
        <w:jc w:val="both"/>
        <w:rPr>
          <w:sz w:val="22"/>
          <w:szCs w:val="22"/>
          <w:lang w:val="it-IT"/>
        </w:rPr>
      </w:pPr>
    </w:p>
    <w:p w14:paraId="5B52DED3" w14:textId="0136867F" w:rsidR="00107DB4" w:rsidRPr="00512BE3" w:rsidRDefault="00056D2B" w:rsidP="007B6CB6">
      <w:pPr>
        <w:jc w:val="both"/>
        <w:rPr>
          <w:b/>
          <w:i/>
          <w:sz w:val="22"/>
          <w:szCs w:val="22"/>
          <w:lang w:val="it-IT"/>
        </w:rPr>
      </w:pPr>
      <w:r w:rsidRPr="00512BE3">
        <w:rPr>
          <w:b/>
          <w:i/>
          <w:sz w:val="22"/>
          <w:szCs w:val="22"/>
          <w:lang w:val="it-IT"/>
        </w:rPr>
        <w:t>Tabela 2</w:t>
      </w:r>
      <w:r w:rsidR="00CE5778">
        <w:rPr>
          <w:b/>
          <w:i/>
          <w:sz w:val="22"/>
          <w:szCs w:val="22"/>
          <w:lang w:val="it-IT"/>
        </w:rPr>
        <w:t>5</w:t>
      </w:r>
      <w:r w:rsidR="00107DB4" w:rsidRPr="00512BE3">
        <w:rPr>
          <w:b/>
          <w:i/>
          <w:sz w:val="22"/>
          <w:szCs w:val="22"/>
          <w:lang w:val="it-IT"/>
        </w:rPr>
        <w:t>: Pregled broja zaposlenih po osnovu prestanka radnog odnosa</w:t>
      </w:r>
    </w:p>
    <w:tbl>
      <w:tblPr>
        <w:tblStyle w:val="PlainTable111"/>
        <w:tblW w:w="9072" w:type="dxa"/>
        <w:tblLook w:val="04A0" w:firstRow="1" w:lastRow="0" w:firstColumn="1" w:lastColumn="0" w:noHBand="0" w:noVBand="1"/>
      </w:tblPr>
      <w:tblGrid>
        <w:gridCol w:w="6956"/>
        <w:gridCol w:w="2116"/>
      </w:tblGrid>
      <w:tr w:rsidR="00E03901" w:rsidRPr="00512BE3" w14:paraId="6E4B399B" w14:textId="77777777" w:rsidTr="00E03901">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956" w:type="dxa"/>
            <w:hideMark/>
          </w:tcPr>
          <w:p w14:paraId="33890E6F" w14:textId="77777777" w:rsidR="00E03901" w:rsidRPr="00CE5778" w:rsidRDefault="00E03901" w:rsidP="00E03901">
            <w:pPr>
              <w:jc w:val="center"/>
              <w:rPr>
                <w:i/>
                <w:iCs/>
                <w:sz w:val="20"/>
                <w:szCs w:val="20"/>
                <w:lang w:val="en-US" w:eastAsia="en-US"/>
              </w:rPr>
            </w:pPr>
            <w:r w:rsidRPr="00CE5778">
              <w:rPr>
                <w:i/>
                <w:iCs/>
                <w:sz w:val="20"/>
                <w:szCs w:val="20"/>
                <w:lang w:val="en-US" w:eastAsia="en-US"/>
              </w:rPr>
              <w:t>Osnov prestanka radnog odnosa</w:t>
            </w:r>
          </w:p>
        </w:tc>
        <w:tc>
          <w:tcPr>
            <w:tcW w:w="2116" w:type="dxa"/>
            <w:hideMark/>
          </w:tcPr>
          <w:p w14:paraId="2BFB99E2" w14:textId="77777777" w:rsidR="00E03901" w:rsidRPr="00CE5778" w:rsidRDefault="00E03901" w:rsidP="00E03901">
            <w:pPr>
              <w:jc w:val="center"/>
              <w:cnfStyle w:val="100000000000" w:firstRow="1" w:lastRow="0" w:firstColumn="0" w:lastColumn="0" w:oddVBand="0" w:evenVBand="0" w:oddHBand="0" w:evenHBand="0" w:firstRowFirstColumn="0" w:firstRowLastColumn="0" w:lastRowFirstColumn="0" w:lastRowLastColumn="0"/>
              <w:rPr>
                <w:i/>
                <w:iCs/>
                <w:sz w:val="20"/>
                <w:szCs w:val="20"/>
                <w:lang w:val="en-US" w:eastAsia="en-US"/>
              </w:rPr>
            </w:pPr>
            <w:r w:rsidRPr="00CE5778">
              <w:rPr>
                <w:i/>
                <w:iCs/>
                <w:sz w:val="20"/>
                <w:szCs w:val="20"/>
                <w:lang w:val="en-US" w:eastAsia="en-US"/>
              </w:rPr>
              <w:t>Ukupno</w:t>
            </w:r>
          </w:p>
        </w:tc>
      </w:tr>
      <w:tr w:rsidR="00E03901" w:rsidRPr="00512BE3" w14:paraId="357C2FFF" w14:textId="77777777" w:rsidTr="00E039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956" w:type="dxa"/>
            <w:hideMark/>
          </w:tcPr>
          <w:p w14:paraId="56EDEC96" w14:textId="77777777" w:rsidR="00E03901" w:rsidRPr="00CE5778" w:rsidRDefault="00E03901" w:rsidP="00E03901">
            <w:pPr>
              <w:rPr>
                <w:sz w:val="20"/>
                <w:szCs w:val="20"/>
                <w:lang w:val="en-US" w:eastAsia="en-US"/>
              </w:rPr>
            </w:pPr>
            <w:r w:rsidRPr="00CE5778">
              <w:rPr>
                <w:sz w:val="20"/>
                <w:szCs w:val="20"/>
                <w:lang w:val="en-US" w:eastAsia="en-US"/>
              </w:rPr>
              <w:t>Disciplinska mjera-prestanak radnog odnosa</w:t>
            </w:r>
          </w:p>
        </w:tc>
        <w:tc>
          <w:tcPr>
            <w:tcW w:w="2116" w:type="dxa"/>
            <w:hideMark/>
          </w:tcPr>
          <w:p w14:paraId="009A2B4F" w14:textId="77777777" w:rsidR="00E03901" w:rsidRPr="00CE5778" w:rsidRDefault="00E03901" w:rsidP="00E03901">
            <w:pPr>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US"/>
              </w:rPr>
            </w:pPr>
            <w:r w:rsidRPr="00CE5778">
              <w:rPr>
                <w:bCs/>
                <w:sz w:val="20"/>
                <w:szCs w:val="20"/>
                <w:lang w:val="en-US" w:eastAsia="en-US"/>
              </w:rPr>
              <w:t>4</w:t>
            </w:r>
          </w:p>
        </w:tc>
      </w:tr>
      <w:tr w:rsidR="00E03901" w:rsidRPr="00512BE3" w14:paraId="1BB48039" w14:textId="77777777" w:rsidTr="00E03901">
        <w:trPr>
          <w:trHeight w:val="260"/>
        </w:trPr>
        <w:tc>
          <w:tcPr>
            <w:cnfStyle w:val="001000000000" w:firstRow="0" w:lastRow="0" w:firstColumn="1" w:lastColumn="0" w:oddVBand="0" w:evenVBand="0" w:oddHBand="0" w:evenHBand="0" w:firstRowFirstColumn="0" w:firstRowLastColumn="0" w:lastRowFirstColumn="0" w:lastRowLastColumn="0"/>
            <w:tcW w:w="6956" w:type="dxa"/>
          </w:tcPr>
          <w:p w14:paraId="784A0940" w14:textId="77777777" w:rsidR="00E03901" w:rsidRPr="00CE5778" w:rsidRDefault="00E03901" w:rsidP="00E03901">
            <w:pPr>
              <w:rPr>
                <w:sz w:val="20"/>
                <w:szCs w:val="20"/>
                <w:lang w:val="en-US" w:eastAsia="en-US"/>
              </w:rPr>
            </w:pPr>
            <w:r w:rsidRPr="00CE5778">
              <w:rPr>
                <w:sz w:val="20"/>
                <w:szCs w:val="20"/>
                <w:lang w:val="en-US" w:eastAsia="en-US"/>
              </w:rPr>
              <w:t>Istek ugovora o radu na određeno vrijeme</w:t>
            </w:r>
          </w:p>
        </w:tc>
        <w:tc>
          <w:tcPr>
            <w:tcW w:w="2116" w:type="dxa"/>
          </w:tcPr>
          <w:p w14:paraId="4B51C9B8" w14:textId="77777777" w:rsidR="00E03901" w:rsidRPr="00CE5778" w:rsidRDefault="00E03901" w:rsidP="00E03901">
            <w:pPr>
              <w:jc w:val="center"/>
              <w:cnfStyle w:val="000000000000" w:firstRow="0" w:lastRow="0" w:firstColumn="0" w:lastColumn="0" w:oddVBand="0" w:evenVBand="0" w:oddHBand="0" w:evenHBand="0" w:firstRowFirstColumn="0" w:firstRowLastColumn="0" w:lastRowFirstColumn="0" w:lastRowLastColumn="0"/>
              <w:rPr>
                <w:bCs/>
                <w:sz w:val="20"/>
                <w:szCs w:val="20"/>
                <w:lang w:val="en-US" w:eastAsia="en-US"/>
              </w:rPr>
            </w:pPr>
            <w:r w:rsidRPr="00CE5778">
              <w:rPr>
                <w:bCs/>
                <w:sz w:val="20"/>
                <w:szCs w:val="20"/>
                <w:lang w:val="en-US" w:eastAsia="en-US"/>
              </w:rPr>
              <w:t>39</w:t>
            </w:r>
          </w:p>
        </w:tc>
      </w:tr>
      <w:tr w:rsidR="00E03901" w:rsidRPr="00512BE3" w14:paraId="4095F36E" w14:textId="77777777" w:rsidTr="00E0390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956" w:type="dxa"/>
          </w:tcPr>
          <w:p w14:paraId="76A7BF27" w14:textId="77777777" w:rsidR="00E03901" w:rsidRPr="00CE5778" w:rsidRDefault="00E03901" w:rsidP="00E03901">
            <w:pPr>
              <w:rPr>
                <w:sz w:val="20"/>
                <w:szCs w:val="20"/>
                <w:lang w:val="en-US" w:eastAsia="en-US"/>
              </w:rPr>
            </w:pPr>
            <w:r w:rsidRPr="00CE5778">
              <w:rPr>
                <w:sz w:val="20"/>
                <w:szCs w:val="20"/>
                <w:lang w:val="en-US" w:eastAsia="en-US"/>
              </w:rPr>
              <w:t>Starosna i invalidska penzija</w:t>
            </w:r>
          </w:p>
        </w:tc>
        <w:tc>
          <w:tcPr>
            <w:tcW w:w="2116" w:type="dxa"/>
          </w:tcPr>
          <w:p w14:paraId="1C5D4111" w14:textId="77777777" w:rsidR="00E03901" w:rsidRPr="00CE5778" w:rsidRDefault="00E03901" w:rsidP="00E03901">
            <w:pPr>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US"/>
              </w:rPr>
            </w:pPr>
            <w:r w:rsidRPr="00CE5778">
              <w:rPr>
                <w:bCs/>
                <w:sz w:val="20"/>
                <w:szCs w:val="20"/>
                <w:lang w:val="en-US" w:eastAsia="en-US"/>
              </w:rPr>
              <w:t>69</w:t>
            </w:r>
          </w:p>
        </w:tc>
      </w:tr>
      <w:tr w:rsidR="00E03901" w:rsidRPr="00512BE3" w14:paraId="49C14081" w14:textId="77777777" w:rsidTr="00E03901">
        <w:trPr>
          <w:trHeight w:val="251"/>
        </w:trPr>
        <w:tc>
          <w:tcPr>
            <w:cnfStyle w:val="001000000000" w:firstRow="0" w:lastRow="0" w:firstColumn="1" w:lastColumn="0" w:oddVBand="0" w:evenVBand="0" w:oddHBand="0" w:evenHBand="0" w:firstRowFirstColumn="0" w:firstRowLastColumn="0" w:lastRowFirstColumn="0" w:lastRowLastColumn="0"/>
            <w:tcW w:w="6956" w:type="dxa"/>
          </w:tcPr>
          <w:p w14:paraId="53A89D06" w14:textId="77777777" w:rsidR="00E03901" w:rsidRPr="00CE5778" w:rsidRDefault="00E03901" w:rsidP="00E03901">
            <w:pPr>
              <w:rPr>
                <w:sz w:val="20"/>
                <w:szCs w:val="20"/>
                <w:lang w:val="en-US" w:eastAsia="en-US"/>
              </w:rPr>
            </w:pPr>
            <w:r w:rsidRPr="00CE5778">
              <w:rPr>
                <w:sz w:val="20"/>
                <w:szCs w:val="20"/>
                <w:lang w:val="en-US" w:eastAsia="en-US"/>
              </w:rPr>
              <w:t>Smrt zaposlenog</w:t>
            </w:r>
          </w:p>
        </w:tc>
        <w:tc>
          <w:tcPr>
            <w:tcW w:w="2116" w:type="dxa"/>
          </w:tcPr>
          <w:p w14:paraId="069CD5C3" w14:textId="77777777" w:rsidR="00E03901" w:rsidRPr="00CE5778" w:rsidRDefault="00E03901" w:rsidP="00E03901">
            <w:pPr>
              <w:jc w:val="center"/>
              <w:cnfStyle w:val="000000000000" w:firstRow="0" w:lastRow="0" w:firstColumn="0" w:lastColumn="0" w:oddVBand="0" w:evenVBand="0" w:oddHBand="0" w:evenHBand="0" w:firstRowFirstColumn="0" w:firstRowLastColumn="0" w:lastRowFirstColumn="0" w:lastRowLastColumn="0"/>
              <w:rPr>
                <w:bCs/>
                <w:sz w:val="20"/>
                <w:szCs w:val="20"/>
                <w:lang w:val="en-US" w:eastAsia="en-US"/>
              </w:rPr>
            </w:pPr>
            <w:r w:rsidRPr="00CE5778">
              <w:rPr>
                <w:bCs/>
                <w:sz w:val="20"/>
                <w:szCs w:val="20"/>
                <w:lang w:val="en-US" w:eastAsia="en-US"/>
              </w:rPr>
              <w:t>9</w:t>
            </w:r>
          </w:p>
        </w:tc>
      </w:tr>
      <w:tr w:rsidR="00E03901" w:rsidRPr="00512BE3" w14:paraId="1D247383" w14:textId="77777777" w:rsidTr="00E0390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956" w:type="dxa"/>
          </w:tcPr>
          <w:p w14:paraId="15D46437" w14:textId="77777777" w:rsidR="00E03901" w:rsidRPr="00CE5778" w:rsidRDefault="00E03901" w:rsidP="00E03901">
            <w:pPr>
              <w:rPr>
                <w:sz w:val="20"/>
                <w:szCs w:val="20"/>
                <w:lang w:val="en-US" w:eastAsia="en-US"/>
              </w:rPr>
            </w:pPr>
            <w:r w:rsidRPr="00CE5778">
              <w:rPr>
                <w:sz w:val="20"/>
                <w:szCs w:val="20"/>
                <w:lang w:val="en-US" w:eastAsia="en-US"/>
              </w:rPr>
              <w:t>Sporazumni prestanak</w:t>
            </w:r>
          </w:p>
        </w:tc>
        <w:tc>
          <w:tcPr>
            <w:tcW w:w="2116" w:type="dxa"/>
          </w:tcPr>
          <w:p w14:paraId="1015532C" w14:textId="77777777" w:rsidR="00E03901" w:rsidRPr="00CE5778" w:rsidRDefault="00E03901" w:rsidP="00E03901">
            <w:pPr>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US"/>
              </w:rPr>
            </w:pPr>
            <w:r w:rsidRPr="00CE5778">
              <w:rPr>
                <w:bCs/>
                <w:sz w:val="20"/>
                <w:szCs w:val="20"/>
                <w:lang w:val="en-US" w:eastAsia="en-US"/>
              </w:rPr>
              <w:t>25</w:t>
            </w:r>
          </w:p>
        </w:tc>
      </w:tr>
      <w:tr w:rsidR="00E03901" w:rsidRPr="00512BE3" w14:paraId="6EBE0ABE" w14:textId="77777777" w:rsidTr="00E03901">
        <w:trPr>
          <w:trHeight w:val="224"/>
        </w:trPr>
        <w:tc>
          <w:tcPr>
            <w:cnfStyle w:val="001000000000" w:firstRow="0" w:lastRow="0" w:firstColumn="1" w:lastColumn="0" w:oddVBand="0" w:evenVBand="0" w:oddHBand="0" w:evenHBand="0" w:firstRowFirstColumn="0" w:firstRowLastColumn="0" w:lastRowFirstColumn="0" w:lastRowLastColumn="0"/>
            <w:tcW w:w="6956" w:type="dxa"/>
            <w:hideMark/>
          </w:tcPr>
          <w:p w14:paraId="1A7028BB" w14:textId="77777777" w:rsidR="00E03901" w:rsidRPr="00CE5778" w:rsidRDefault="00E03901" w:rsidP="00C07E37">
            <w:pPr>
              <w:rPr>
                <w:sz w:val="20"/>
                <w:szCs w:val="20"/>
                <w:lang w:val="en-US" w:eastAsia="en-US"/>
              </w:rPr>
            </w:pPr>
            <w:r w:rsidRPr="00CE5778">
              <w:rPr>
                <w:sz w:val="20"/>
                <w:szCs w:val="20"/>
                <w:lang w:val="en-US" w:eastAsia="en-US"/>
              </w:rPr>
              <w:t>UKUPNO</w:t>
            </w:r>
          </w:p>
        </w:tc>
        <w:tc>
          <w:tcPr>
            <w:tcW w:w="2116" w:type="dxa"/>
            <w:hideMark/>
          </w:tcPr>
          <w:p w14:paraId="5BD753FD" w14:textId="77777777" w:rsidR="00E03901" w:rsidRPr="00CE5778" w:rsidRDefault="00E03901" w:rsidP="00E03901">
            <w:pPr>
              <w:jc w:val="center"/>
              <w:cnfStyle w:val="000000000000" w:firstRow="0" w:lastRow="0" w:firstColumn="0" w:lastColumn="0" w:oddVBand="0" w:evenVBand="0" w:oddHBand="0" w:evenHBand="0" w:firstRowFirstColumn="0" w:firstRowLastColumn="0" w:lastRowFirstColumn="0" w:lastRowLastColumn="0"/>
              <w:rPr>
                <w:b/>
                <w:bCs/>
                <w:sz w:val="20"/>
                <w:szCs w:val="20"/>
                <w:lang w:val="en-US" w:eastAsia="en-US"/>
              </w:rPr>
            </w:pPr>
            <w:r w:rsidRPr="00CE5778">
              <w:rPr>
                <w:b/>
                <w:bCs/>
                <w:sz w:val="20"/>
                <w:szCs w:val="20"/>
                <w:lang w:val="en-US" w:eastAsia="en-US"/>
              </w:rPr>
              <w:t>146</w:t>
            </w:r>
          </w:p>
        </w:tc>
      </w:tr>
    </w:tbl>
    <w:p w14:paraId="0E429A11" w14:textId="77777777" w:rsidR="00DB4D71" w:rsidRPr="00512BE3" w:rsidRDefault="00DB4D71" w:rsidP="00CE5778">
      <w:pPr>
        <w:jc w:val="both"/>
        <w:rPr>
          <w:b/>
          <w:i/>
          <w:sz w:val="22"/>
          <w:szCs w:val="22"/>
          <w:lang w:val="it-IT"/>
        </w:rPr>
      </w:pPr>
    </w:p>
    <w:p w14:paraId="70B3B2E0" w14:textId="429490E4" w:rsidR="00E03901" w:rsidRPr="00512BE3" w:rsidRDefault="00056D2B" w:rsidP="00CE5778">
      <w:pPr>
        <w:jc w:val="both"/>
        <w:rPr>
          <w:rFonts w:eastAsia="Calibri"/>
          <w:i/>
          <w:sz w:val="22"/>
          <w:szCs w:val="22"/>
          <w:lang w:val="sr-Latn-BA"/>
        </w:rPr>
      </w:pPr>
      <w:r w:rsidRPr="00512BE3">
        <w:rPr>
          <w:rFonts w:eastAsia="Calibri"/>
          <w:b/>
          <w:i/>
          <w:sz w:val="22"/>
          <w:szCs w:val="22"/>
        </w:rPr>
        <w:t>Tabela 2</w:t>
      </w:r>
      <w:r w:rsidR="00CE5778">
        <w:rPr>
          <w:rFonts w:eastAsia="Calibri"/>
          <w:b/>
          <w:i/>
          <w:sz w:val="22"/>
          <w:szCs w:val="22"/>
        </w:rPr>
        <w:t>6</w:t>
      </w:r>
      <w:r w:rsidR="00B0230C" w:rsidRPr="00512BE3">
        <w:rPr>
          <w:rFonts w:eastAsia="Calibri"/>
          <w:i/>
          <w:sz w:val="22"/>
          <w:szCs w:val="22"/>
        </w:rPr>
        <w:t xml:space="preserve">: </w:t>
      </w:r>
      <w:r w:rsidR="00607A44" w:rsidRPr="00512BE3">
        <w:rPr>
          <w:rFonts w:eastAsia="Calibri"/>
          <w:b/>
          <w:i/>
          <w:sz w:val="22"/>
          <w:szCs w:val="22"/>
        </w:rPr>
        <w:t>Pregled nacionalne i polne strukture zaposlenih u UIO na dan 31.</w:t>
      </w:r>
      <w:r w:rsidR="00E21F98" w:rsidRPr="00512BE3">
        <w:rPr>
          <w:rFonts w:eastAsia="Calibri"/>
          <w:b/>
          <w:i/>
          <w:sz w:val="22"/>
          <w:szCs w:val="22"/>
        </w:rPr>
        <w:t>12.202</w:t>
      </w:r>
      <w:r w:rsidR="00E03901" w:rsidRPr="00512BE3">
        <w:rPr>
          <w:rFonts w:eastAsia="Calibri"/>
          <w:b/>
          <w:i/>
          <w:sz w:val="22"/>
          <w:szCs w:val="22"/>
        </w:rPr>
        <w:t>2</w:t>
      </w:r>
      <w:r w:rsidR="00FD7CC0" w:rsidRPr="00512BE3">
        <w:rPr>
          <w:rFonts w:eastAsia="Calibri"/>
          <w:b/>
          <w:i/>
          <w:sz w:val="22"/>
          <w:szCs w:val="22"/>
        </w:rPr>
        <w:t xml:space="preserve">. po </w:t>
      </w:r>
      <w:r w:rsidR="00607A44" w:rsidRPr="00512BE3">
        <w:rPr>
          <w:rFonts w:eastAsia="Calibri"/>
          <w:b/>
          <w:i/>
          <w:sz w:val="22"/>
          <w:szCs w:val="22"/>
        </w:rPr>
        <w:t>regionalnim centrima i u središnjem uredu</w:t>
      </w:r>
      <w:r w:rsidR="00607A44" w:rsidRPr="00512BE3">
        <w:rPr>
          <w:rFonts w:eastAsia="Calibri"/>
          <w:i/>
          <w:sz w:val="22"/>
          <w:szCs w:val="22"/>
          <w:lang w:val="sr-Latn-BA"/>
        </w:rPr>
        <w:t xml:space="preserve"> </w:t>
      </w:r>
      <w:r w:rsidR="00D8485A" w:rsidRPr="00512BE3">
        <w:rPr>
          <w:rFonts w:eastAsia="Calibri"/>
          <w:i/>
          <w:sz w:val="22"/>
          <w:szCs w:val="22"/>
          <w:lang w:val="sr-Latn-BA"/>
        </w:rPr>
        <w:t xml:space="preserve"> </w:t>
      </w:r>
    </w:p>
    <w:tbl>
      <w:tblPr>
        <w:tblW w:w="8959" w:type="dxa"/>
        <w:tblInd w:w="-10" w:type="dxa"/>
        <w:tblLook w:val="04A0" w:firstRow="1" w:lastRow="0" w:firstColumn="1" w:lastColumn="0" w:noHBand="0" w:noVBand="1"/>
      </w:tblPr>
      <w:tblGrid>
        <w:gridCol w:w="1492"/>
        <w:gridCol w:w="1093"/>
        <w:gridCol w:w="666"/>
        <w:gridCol w:w="828"/>
        <w:gridCol w:w="828"/>
        <w:gridCol w:w="1083"/>
        <w:gridCol w:w="266"/>
        <w:gridCol w:w="1039"/>
        <w:gridCol w:w="666"/>
        <w:gridCol w:w="1083"/>
      </w:tblGrid>
      <w:tr w:rsidR="0087624B" w:rsidRPr="00512BE3" w14:paraId="6F2951DD"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8EAADB" w:themeFill="accent5" w:themeFillTint="99"/>
            <w:vAlign w:val="center"/>
            <w:hideMark/>
          </w:tcPr>
          <w:p w14:paraId="38424B93"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Organizacioni dio</w:t>
            </w:r>
          </w:p>
        </w:tc>
        <w:tc>
          <w:tcPr>
            <w:tcW w:w="1093" w:type="dxa"/>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14:paraId="625A1B4B"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 xml:space="preserve">Bošnjaci </w:t>
            </w:r>
          </w:p>
        </w:tc>
        <w:tc>
          <w:tcPr>
            <w:tcW w:w="653"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35D604BB"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Srbi</w:t>
            </w:r>
          </w:p>
        </w:tc>
        <w:tc>
          <w:tcPr>
            <w:tcW w:w="828"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6E8056C4"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Hrvati</w:t>
            </w:r>
          </w:p>
        </w:tc>
        <w:tc>
          <w:tcPr>
            <w:tcW w:w="828"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4C8D9F6E"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Ostali</w:t>
            </w:r>
          </w:p>
        </w:tc>
        <w:tc>
          <w:tcPr>
            <w:tcW w:w="1063"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702A0D1C"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UKUPNO</w:t>
            </w:r>
          </w:p>
        </w:tc>
        <w:tc>
          <w:tcPr>
            <w:tcW w:w="261" w:type="dxa"/>
            <w:vMerge w:val="restart"/>
            <w:tcBorders>
              <w:top w:val="nil"/>
              <w:left w:val="nil"/>
              <w:bottom w:val="nil"/>
              <w:right w:val="single" w:sz="4" w:space="0" w:color="auto"/>
            </w:tcBorders>
            <w:vAlign w:val="center"/>
            <w:hideMark/>
          </w:tcPr>
          <w:p w14:paraId="1845D652" w14:textId="77777777" w:rsidR="0087624B" w:rsidRPr="00CE5778" w:rsidRDefault="0087624B" w:rsidP="0087624B">
            <w:pPr>
              <w:rPr>
                <w:color w:val="000000"/>
                <w:sz w:val="20"/>
                <w:szCs w:val="20"/>
                <w:lang w:val="en-GB" w:eastAsia="en-US"/>
              </w:rPr>
            </w:pPr>
            <w:r w:rsidRPr="00CE5778">
              <w:rPr>
                <w:color w:val="000000"/>
                <w:sz w:val="20"/>
                <w:szCs w:val="20"/>
                <w:lang w:val="en-GB" w:eastAsia="en-US"/>
              </w:rPr>
              <w:t> </w:t>
            </w:r>
          </w:p>
        </w:tc>
        <w:tc>
          <w:tcPr>
            <w:tcW w:w="10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3BD809" w14:textId="77777777" w:rsidR="0087624B" w:rsidRPr="00CE5778" w:rsidRDefault="0087624B" w:rsidP="0087624B">
            <w:pPr>
              <w:jc w:val="center"/>
              <w:rPr>
                <w:b/>
                <w:bCs/>
                <w:iCs/>
                <w:color w:val="000000"/>
                <w:sz w:val="20"/>
                <w:szCs w:val="20"/>
                <w:lang w:val="en-GB" w:eastAsia="en-US"/>
              </w:rPr>
            </w:pPr>
            <w:r w:rsidRPr="00CE5778">
              <w:rPr>
                <w:b/>
                <w:bCs/>
                <w:iCs/>
                <w:color w:val="000000"/>
                <w:sz w:val="20"/>
                <w:szCs w:val="20"/>
                <w:lang w:val="en-GB" w:eastAsia="en-US"/>
              </w:rPr>
              <w:t>Muškarci</w:t>
            </w:r>
          </w:p>
        </w:tc>
        <w:tc>
          <w:tcPr>
            <w:tcW w:w="6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DBBFB6" w14:textId="77777777" w:rsidR="0087624B" w:rsidRPr="00CE5778" w:rsidRDefault="0087624B" w:rsidP="0087624B">
            <w:pPr>
              <w:jc w:val="center"/>
              <w:rPr>
                <w:b/>
                <w:bCs/>
                <w:iCs/>
                <w:color w:val="000000"/>
                <w:sz w:val="20"/>
                <w:szCs w:val="20"/>
                <w:lang w:val="en-GB" w:eastAsia="en-US"/>
              </w:rPr>
            </w:pPr>
            <w:r w:rsidRPr="00CE5778">
              <w:rPr>
                <w:b/>
                <w:bCs/>
                <w:iCs/>
                <w:color w:val="000000"/>
                <w:sz w:val="20"/>
                <w:szCs w:val="20"/>
                <w:lang w:val="en-GB" w:eastAsia="en-US"/>
              </w:rPr>
              <w:t>Žene</w:t>
            </w:r>
          </w:p>
        </w:tc>
        <w:tc>
          <w:tcPr>
            <w:tcW w:w="106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569F48" w14:textId="77777777" w:rsidR="0087624B" w:rsidRPr="00CE5778" w:rsidRDefault="0087624B" w:rsidP="0087624B">
            <w:pPr>
              <w:jc w:val="center"/>
              <w:rPr>
                <w:b/>
                <w:bCs/>
                <w:iCs/>
                <w:color w:val="000000"/>
                <w:sz w:val="20"/>
                <w:szCs w:val="20"/>
                <w:lang w:val="en-GB" w:eastAsia="en-US"/>
              </w:rPr>
            </w:pPr>
            <w:r w:rsidRPr="00CE5778">
              <w:rPr>
                <w:b/>
                <w:bCs/>
                <w:iCs/>
                <w:color w:val="000000"/>
                <w:sz w:val="20"/>
                <w:szCs w:val="20"/>
                <w:lang w:val="en-GB" w:eastAsia="en-US"/>
              </w:rPr>
              <w:t>UKUPNO</w:t>
            </w:r>
          </w:p>
        </w:tc>
      </w:tr>
      <w:tr w:rsidR="0087624B" w:rsidRPr="00512BE3" w14:paraId="77E79FCF"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1F367AC8"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Središnji ured</w:t>
            </w:r>
          </w:p>
        </w:tc>
        <w:tc>
          <w:tcPr>
            <w:tcW w:w="1093"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081108ED" w14:textId="77777777" w:rsidR="0087624B" w:rsidRPr="00CE5778" w:rsidRDefault="0087624B" w:rsidP="0087624B">
            <w:pPr>
              <w:jc w:val="center"/>
              <w:rPr>
                <w:b/>
                <w:bCs/>
                <w:sz w:val="20"/>
                <w:szCs w:val="20"/>
                <w:lang w:val="en-GB" w:eastAsia="en-US"/>
              </w:rPr>
            </w:pPr>
            <w:r w:rsidRPr="00CE5778">
              <w:rPr>
                <w:b/>
                <w:bCs/>
                <w:sz w:val="20"/>
                <w:szCs w:val="20"/>
                <w:lang w:val="en-GB" w:eastAsia="en-US"/>
              </w:rPr>
              <w:t>133</w:t>
            </w:r>
          </w:p>
        </w:tc>
        <w:tc>
          <w:tcPr>
            <w:tcW w:w="653"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10901D67" w14:textId="77777777" w:rsidR="0087624B" w:rsidRPr="00CE5778" w:rsidRDefault="0087624B" w:rsidP="0087624B">
            <w:pPr>
              <w:jc w:val="center"/>
              <w:rPr>
                <w:b/>
                <w:bCs/>
                <w:sz w:val="20"/>
                <w:szCs w:val="20"/>
                <w:lang w:val="en-GB" w:eastAsia="en-US"/>
              </w:rPr>
            </w:pPr>
            <w:r w:rsidRPr="00CE5778">
              <w:rPr>
                <w:b/>
                <w:bCs/>
                <w:sz w:val="20"/>
                <w:szCs w:val="20"/>
                <w:lang w:val="en-GB" w:eastAsia="en-US"/>
              </w:rPr>
              <w:t>170</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03C4BFD4" w14:textId="77777777" w:rsidR="0087624B" w:rsidRPr="00CE5778" w:rsidRDefault="0087624B" w:rsidP="0087624B">
            <w:pPr>
              <w:jc w:val="center"/>
              <w:rPr>
                <w:b/>
                <w:bCs/>
                <w:sz w:val="20"/>
                <w:szCs w:val="20"/>
                <w:lang w:val="en-GB" w:eastAsia="en-US"/>
              </w:rPr>
            </w:pPr>
            <w:r w:rsidRPr="00CE5778">
              <w:rPr>
                <w:b/>
                <w:bCs/>
                <w:sz w:val="20"/>
                <w:szCs w:val="20"/>
                <w:lang w:val="en-GB" w:eastAsia="en-US"/>
              </w:rPr>
              <w:t>50</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2DFFDF77" w14:textId="77777777" w:rsidR="0087624B" w:rsidRPr="00CE5778" w:rsidRDefault="0087624B" w:rsidP="0087624B">
            <w:pPr>
              <w:jc w:val="center"/>
              <w:rPr>
                <w:b/>
                <w:bCs/>
                <w:sz w:val="20"/>
                <w:szCs w:val="20"/>
                <w:lang w:val="en-GB" w:eastAsia="en-US"/>
              </w:rPr>
            </w:pPr>
            <w:r w:rsidRPr="00CE5778">
              <w:rPr>
                <w:b/>
                <w:bCs/>
                <w:sz w:val="20"/>
                <w:szCs w:val="20"/>
                <w:lang w:val="en-GB" w:eastAsia="en-US"/>
              </w:rPr>
              <w:t>3</w:t>
            </w:r>
          </w:p>
        </w:tc>
        <w:tc>
          <w:tcPr>
            <w:tcW w:w="106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4C2C9B97" w14:textId="77777777" w:rsidR="0087624B" w:rsidRPr="00CE5778" w:rsidRDefault="0087624B" w:rsidP="0087624B">
            <w:pPr>
              <w:jc w:val="center"/>
              <w:rPr>
                <w:b/>
                <w:bCs/>
                <w:sz w:val="20"/>
                <w:szCs w:val="20"/>
                <w:lang w:val="en-GB" w:eastAsia="en-US"/>
              </w:rPr>
            </w:pPr>
            <w:r w:rsidRPr="00CE5778">
              <w:rPr>
                <w:b/>
                <w:bCs/>
                <w:sz w:val="20"/>
                <w:szCs w:val="20"/>
                <w:lang w:val="en-GB" w:eastAsia="en-US"/>
              </w:rPr>
              <w:t>356</w:t>
            </w:r>
          </w:p>
        </w:tc>
        <w:tc>
          <w:tcPr>
            <w:tcW w:w="261" w:type="dxa"/>
            <w:vMerge/>
            <w:tcBorders>
              <w:top w:val="nil"/>
              <w:left w:val="nil"/>
              <w:bottom w:val="nil"/>
              <w:right w:val="nil"/>
            </w:tcBorders>
            <w:vAlign w:val="center"/>
            <w:hideMark/>
          </w:tcPr>
          <w:p w14:paraId="6659D502" w14:textId="77777777" w:rsidR="0087624B" w:rsidRPr="00CE5778" w:rsidRDefault="0087624B" w:rsidP="0087624B">
            <w:pPr>
              <w:rPr>
                <w:sz w:val="20"/>
                <w:szCs w:val="20"/>
                <w:lang w:val="en-GB" w:eastAsia="en-US"/>
              </w:rPr>
            </w:pPr>
          </w:p>
        </w:tc>
        <w:tc>
          <w:tcPr>
            <w:tcW w:w="1020" w:type="dxa"/>
            <w:tcBorders>
              <w:top w:val="single" w:sz="4" w:space="0" w:color="auto"/>
              <w:left w:val="single" w:sz="8" w:space="0" w:color="auto"/>
              <w:bottom w:val="single" w:sz="8" w:space="0" w:color="auto"/>
              <w:right w:val="single" w:sz="8" w:space="0" w:color="auto"/>
            </w:tcBorders>
            <w:shd w:val="clear" w:color="auto" w:fill="FBE4D5" w:themeFill="accent2" w:themeFillTint="33"/>
            <w:vAlign w:val="center"/>
          </w:tcPr>
          <w:p w14:paraId="1F4D8FCF"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130</w:t>
            </w:r>
          </w:p>
        </w:tc>
        <w:tc>
          <w:tcPr>
            <w:tcW w:w="653" w:type="dxa"/>
            <w:tcBorders>
              <w:top w:val="single" w:sz="4" w:space="0" w:color="auto"/>
              <w:left w:val="nil"/>
              <w:bottom w:val="single" w:sz="8" w:space="0" w:color="auto"/>
              <w:right w:val="single" w:sz="8" w:space="0" w:color="auto"/>
            </w:tcBorders>
            <w:shd w:val="clear" w:color="auto" w:fill="FBE4D5" w:themeFill="accent2" w:themeFillTint="33"/>
            <w:vAlign w:val="center"/>
          </w:tcPr>
          <w:p w14:paraId="7D92C91E"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226</w:t>
            </w:r>
          </w:p>
        </w:tc>
        <w:tc>
          <w:tcPr>
            <w:tcW w:w="1063" w:type="dxa"/>
            <w:tcBorders>
              <w:top w:val="single" w:sz="4" w:space="0" w:color="auto"/>
              <w:left w:val="nil"/>
              <w:bottom w:val="single" w:sz="8" w:space="0" w:color="auto"/>
              <w:right w:val="single" w:sz="8" w:space="0" w:color="auto"/>
            </w:tcBorders>
            <w:shd w:val="clear" w:color="auto" w:fill="FBE4D5" w:themeFill="accent2" w:themeFillTint="33"/>
            <w:vAlign w:val="center"/>
          </w:tcPr>
          <w:p w14:paraId="033A8AB3"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356</w:t>
            </w:r>
          </w:p>
        </w:tc>
      </w:tr>
      <w:tr w:rsidR="0087624B" w:rsidRPr="00512BE3" w14:paraId="314EB1FD"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0BEABD8B"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RC Banja Luka</w:t>
            </w:r>
          </w:p>
        </w:tc>
        <w:tc>
          <w:tcPr>
            <w:tcW w:w="1093"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477632EB" w14:textId="77777777" w:rsidR="0087624B" w:rsidRPr="00CE5778" w:rsidRDefault="0087624B" w:rsidP="0087624B">
            <w:pPr>
              <w:jc w:val="center"/>
              <w:rPr>
                <w:b/>
                <w:bCs/>
                <w:sz w:val="20"/>
                <w:szCs w:val="20"/>
                <w:lang w:val="en-GB" w:eastAsia="en-US"/>
              </w:rPr>
            </w:pPr>
            <w:r w:rsidRPr="00CE5778">
              <w:rPr>
                <w:b/>
                <w:bCs/>
                <w:sz w:val="20"/>
                <w:szCs w:val="20"/>
                <w:lang w:val="en-GB" w:eastAsia="en-US"/>
              </w:rPr>
              <w:t>158</w:t>
            </w:r>
          </w:p>
        </w:tc>
        <w:tc>
          <w:tcPr>
            <w:tcW w:w="653"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1C8C4EC5" w14:textId="77777777" w:rsidR="0087624B" w:rsidRPr="00CE5778" w:rsidRDefault="0087624B" w:rsidP="0087624B">
            <w:pPr>
              <w:jc w:val="center"/>
              <w:rPr>
                <w:b/>
                <w:bCs/>
                <w:sz w:val="20"/>
                <w:szCs w:val="20"/>
                <w:lang w:val="en-GB" w:eastAsia="en-US"/>
              </w:rPr>
            </w:pPr>
            <w:r w:rsidRPr="00CE5778">
              <w:rPr>
                <w:b/>
                <w:bCs/>
                <w:sz w:val="20"/>
                <w:szCs w:val="20"/>
                <w:lang w:val="en-GB" w:eastAsia="en-US"/>
              </w:rPr>
              <w:t>304</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4DB69689" w14:textId="77777777" w:rsidR="0087624B" w:rsidRPr="00CE5778" w:rsidRDefault="0087624B" w:rsidP="0087624B">
            <w:pPr>
              <w:jc w:val="center"/>
              <w:rPr>
                <w:b/>
                <w:bCs/>
                <w:sz w:val="20"/>
                <w:szCs w:val="20"/>
                <w:lang w:val="en-GB" w:eastAsia="en-US"/>
              </w:rPr>
            </w:pPr>
            <w:r w:rsidRPr="00CE5778">
              <w:rPr>
                <w:b/>
                <w:bCs/>
                <w:sz w:val="20"/>
                <w:szCs w:val="20"/>
                <w:lang w:val="en-GB" w:eastAsia="en-US"/>
              </w:rPr>
              <w:t>55</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70B9DDBC" w14:textId="77777777" w:rsidR="0087624B" w:rsidRPr="00CE5778" w:rsidRDefault="0087624B" w:rsidP="0087624B">
            <w:pPr>
              <w:jc w:val="center"/>
              <w:rPr>
                <w:b/>
                <w:bCs/>
                <w:sz w:val="20"/>
                <w:szCs w:val="20"/>
                <w:lang w:val="en-GB" w:eastAsia="en-US"/>
              </w:rPr>
            </w:pPr>
            <w:r w:rsidRPr="00CE5778">
              <w:rPr>
                <w:b/>
                <w:bCs/>
                <w:sz w:val="20"/>
                <w:szCs w:val="20"/>
                <w:lang w:val="en-GB" w:eastAsia="en-US"/>
              </w:rPr>
              <w:t>2</w:t>
            </w:r>
          </w:p>
        </w:tc>
        <w:tc>
          <w:tcPr>
            <w:tcW w:w="106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257C5894" w14:textId="77777777" w:rsidR="0087624B" w:rsidRPr="00CE5778" w:rsidRDefault="0087624B" w:rsidP="0087624B">
            <w:pPr>
              <w:jc w:val="center"/>
              <w:rPr>
                <w:b/>
                <w:bCs/>
                <w:sz w:val="20"/>
                <w:szCs w:val="20"/>
                <w:lang w:val="en-GB" w:eastAsia="en-US"/>
              </w:rPr>
            </w:pPr>
            <w:r w:rsidRPr="00CE5778">
              <w:rPr>
                <w:b/>
                <w:bCs/>
                <w:sz w:val="20"/>
                <w:szCs w:val="20"/>
                <w:lang w:val="en-GB" w:eastAsia="en-US"/>
              </w:rPr>
              <w:t>519</w:t>
            </w:r>
          </w:p>
        </w:tc>
        <w:tc>
          <w:tcPr>
            <w:tcW w:w="261" w:type="dxa"/>
            <w:vMerge/>
            <w:tcBorders>
              <w:top w:val="nil"/>
              <w:left w:val="nil"/>
              <w:bottom w:val="nil"/>
              <w:right w:val="nil"/>
            </w:tcBorders>
            <w:vAlign w:val="center"/>
            <w:hideMark/>
          </w:tcPr>
          <w:p w14:paraId="2E5EF32B" w14:textId="77777777" w:rsidR="0087624B" w:rsidRPr="00CE5778" w:rsidRDefault="0087624B" w:rsidP="0087624B">
            <w:pPr>
              <w:rPr>
                <w:sz w:val="20"/>
                <w:szCs w:val="20"/>
                <w:lang w:val="en-GB" w:eastAsia="en-US"/>
              </w:rPr>
            </w:pPr>
          </w:p>
        </w:tc>
        <w:tc>
          <w:tcPr>
            <w:tcW w:w="1020"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0BA38474"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339</w:t>
            </w:r>
          </w:p>
        </w:tc>
        <w:tc>
          <w:tcPr>
            <w:tcW w:w="653" w:type="dxa"/>
            <w:tcBorders>
              <w:top w:val="nil"/>
              <w:left w:val="nil"/>
              <w:bottom w:val="single" w:sz="8" w:space="0" w:color="auto"/>
              <w:right w:val="single" w:sz="8" w:space="0" w:color="auto"/>
            </w:tcBorders>
            <w:shd w:val="clear" w:color="auto" w:fill="FBE4D5" w:themeFill="accent2" w:themeFillTint="33"/>
            <w:vAlign w:val="center"/>
          </w:tcPr>
          <w:p w14:paraId="1B1D02BA"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180</w:t>
            </w:r>
          </w:p>
        </w:tc>
        <w:tc>
          <w:tcPr>
            <w:tcW w:w="1063" w:type="dxa"/>
            <w:tcBorders>
              <w:top w:val="nil"/>
              <w:left w:val="nil"/>
              <w:bottom w:val="single" w:sz="8" w:space="0" w:color="auto"/>
              <w:right w:val="single" w:sz="8" w:space="0" w:color="auto"/>
            </w:tcBorders>
            <w:shd w:val="clear" w:color="auto" w:fill="FBE4D5" w:themeFill="accent2" w:themeFillTint="33"/>
            <w:vAlign w:val="center"/>
          </w:tcPr>
          <w:p w14:paraId="42FE4FF8"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519</w:t>
            </w:r>
          </w:p>
        </w:tc>
      </w:tr>
      <w:tr w:rsidR="0087624B" w:rsidRPr="00512BE3" w14:paraId="0595D269"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330F0908"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RC Mostar</w:t>
            </w:r>
          </w:p>
        </w:tc>
        <w:tc>
          <w:tcPr>
            <w:tcW w:w="1093"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62DA54BE" w14:textId="77777777" w:rsidR="0087624B" w:rsidRPr="00CE5778" w:rsidRDefault="0087624B" w:rsidP="0087624B">
            <w:pPr>
              <w:jc w:val="center"/>
              <w:rPr>
                <w:b/>
                <w:bCs/>
                <w:sz w:val="20"/>
                <w:szCs w:val="20"/>
                <w:lang w:val="en-GB" w:eastAsia="en-US"/>
              </w:rPr>
            </w:pPr>
            <w:r w:rsidRPr="00CE5778">
              <w:rPr>
                <w:b/>
                <w:bCs/>
                <w:sz w:val="20"/>
                <w:szCs w:val="20"/>
                <w:lang w:val="en-GB" w:eastAsia="en-US"/>
              </w:rPr>
              <w:t>134</w:t>
            </w:r>
          </w:p>
        </w:tc>
        <w:tc>
          <w:tcPr>
            <w:tcW w:w="653"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6CF1D8E2" w14:textId="77777777" w:rsidR="0087624B" w:rsidRPr="00CE5778" w:rsidRDefault="0087624B" w:rsidP="0087624B">
            <w:pPr>
              <w:jc w:val="center"/>
              <w:rPr>
                <w:b/>
                <w:bCs/>
                <w:sz w:val="20"/>
                <w:szCs w:val="20"/>
                <w:lang w:val="en-GB" w:eastAsia="en-US"/>
              </w:rPr>
            </w:pPr>
            <w:r w:rsidRPr="00CE5778">
              <w:rPr>
                <w:b/>
                <w:bCs/>
                <w:sz w:val="20"/>
                <w:szCs w:val="20"/>
                <w:lang w:val="en-GB" w:eastAsia="en-US"/>
              </w:rPr>
              <w:t>58</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151A4A78" w14:textId="77777777" w:rsidR="0087624B" w:rsidRPr="00CE5778" w:rsidRDefault="0087624B" w:rsidP="0087624B">
            <w:pPr>
              <w:jc w:val="center"/>
              <w:rPr>
                <w:b/>
                <w:bCs/>
                <w:sz w:val="20"/>
                <w:szCs w:val="20"/>
                <w:lang w:val="en-GB" w:eastAsia="en-US"/>
              </w:rPr>
            </w:pPr>
            <w:r w:rsidRPr="00CE5778">
              <w:rPr>
                <w:b/>
                <w:bCs/>
                <w:sz w:val="20"/>
                <w:szCs w:val="20"/>
                <w:lang w:val="en-GB" w:eastAsia="en-US"/>
              </w:rPr>
              <w:t>262</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2CA79485" w14:textId="77777777" w:rsidR="0087624B" w:rsidRPr="00CE5778" w:rsidRDefault="0087624B" w:rsidP="0087624B">
            <w:pPr>
              <w:jc w:val="center"/>
              <w:rPr>
                <w:b/>
                <w:bCs/>
                <w:sz w:val="20"/>
                <w:szCs w:val="20"/>
                <w:lang w:val="en-GB" w:eastAsia="en-US"/>
              </w:rPr>
            </w:pPr>
            <w:r w:rsidRPr="00CE5778">
              <w:rPr>
                <w:b/>
                <w:bCs/>
                <w:sz w:val="20"/>
                <w:szCs w:val="20"/>
                <w:lang w:val="en-GB" w:eastAsia="en-US"/>
              </w:rPr>
              <w:t>0</w:t>
            </w:r>
          </w:p>
        </w:tc>
        <w:tc>
          <w:tcPr>
            <w:tcW w:w="106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33F96B43" w14:textId="77777777" w:rsidR="0087624B" w:rsidRPr="00CE5778" w:rsidRDefault="0087624B" w:rsidP="0087624B">
            <w:pPr>
              <w:jc w:val="center"/>
              <w:rPr>
                <w:b/>
                <w:bCs/>
                <w:sz w:val="20"/>
                <w:szCs w:val="20"/>
                <w:lang w:val="en-GB" w:eastAsia="en-US"/>
              </w:rPr>
            </w:pPr>
            <w:r w:rsidRPr="00CE5778">
              <w:rPr>
                <w:b/>
                <w:bCs/>
                <w:sz w:val="20"/>
                <w:szCs w:val="20"/>
                <w:lang w:val="en-GB" w:eastAsia="en-US"/>
              </w:rPr>
              <w:t>454</w:t>
            </w:r>
          </w:p>
        </w:tc>
        <w:tc>
          <w:tcPr>
            <w:tcW w:w="261" w:type="dxa"/>
            <w:vMerge/>
            <w:tcBorders>
              <w:top w:val="nil"/>
              <w:left w:val="nil"/>
              <w:bottom w:val="nil"/>
              <w:right w:val="nil"/>
            </w:tcBorders>
            <w:vAlign w:val="center"/>
            <w:hideMark/>
          </w:tcPr>
          <w:p w14:paraId="0294C4FB" w14:textId="77777777" w:rsidR="0087624B" w:rsidRPr="00CE5778" w:rsidRDefault="0087624B" w:rsidP="0087624B">
            <w:pPr>
              <w:rPr>
                <w:sz w:val="20"/>
                <w:szCs w:val="20"/>
                <w:lang w:val="en-GB" w:eastAsia="en-US"/>
              </w:rPr>
            </w:pPr>
          </w:p>
        </w:tc>
        <w:tc>
          <w:tcPr>
            <w:tcW w:w="1020"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20558A48"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280</w:t>
            </w:r>
          </w:p>
        </w:tc>
        <w:tc>
          <w:tcPr>
            <w:tcW w:w="653" w:type="dxa"/>
            <w:tcBorders>
              <w:top w:val="nil"/>
              <w:left w:val="nil"/>
              <w:bottom w:val="single" w:sz="8" w:space="0" w:color="auto"/>
              <w:right w:val="single" w:sz="8" w:space="0" w:color="auto"/>
            </w:tcBorders>
            <w:shd w:val="clear" w:color="auto" w:fill="FBE4D5" w:themeFill="accent2" w:themeFillTint="33"/>
            <w:vAlign w:val="center"/>
          </w:tcPr>
          <w:p w14:paraId="0CA6AF5F"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174</w:t>
            </w:r>
          </w:p>
        </w:tc>
        <w:tc>
          <w:tcPr>
            <w:tcW w:w="1063" w:type="dxa"/>
            <w:tcBorders>
              <w:top w:val="nil"/>
              <w:left w:val="nil"/>
              <w:bottom w:val="single" w:sz="8" w:space="0" w:color="auto"/>
              <w:right w:val="single" w:sz="8" w:space="0" w:color="auto"/>
            </w:tcBorders>
            <w:shd w:val="clear" w:color="auto" w:fill="FBE4D5" w:themeFill="accent2" w:themeFillTint="33"/>
            <w:vAlign w:val="center"/>
          </w:tcPr>
          <w:p w14:paraId="71A2975E"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454</w:t>
            </w:r>
          </w:p>
        </w:tc>
      </w:tr>
      <w:tr w:rsidR="0087624B" w:rsidRPr="00512BE3" w14:paraId="39820557"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5FB5B0ED"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RC Sarajevo</w:t>
            </w:r>
          </w:p>
        </w:tc>
        <w:tc>
          <w:tcPr>
            <w:tcW w:w="1093"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5851696F" w14:textId="77777777" w:rsidR="0087624B" w:rsidRPr="00CE5778" w:rsidRDefault="0087624B" w:rsidP="0087624B">
            <w:pPr>
              <w:jc w:val="center"/>
              <w:rPr>
                <w:b/>
                <w:bCs/>
                <w:sz w:val="20"/>
                <w:szCs w:val="20"/>
                <w:lang w:val="en-GB" w:eastAsia="en-US"/>
              </w:rPr>
            </w:pPr>
            <w:r w:rsidRPr="00CE5778">
              <w:rPr>
                <w:b/>
                <w:bCs/>
                <w:sz w:val="20"/>
                <w:szCs w:val="20"/>
                <w:lang w:val="en-GB" w:eastAsia="en-US"/>
              </w:rPr>
              <w:t>234</w:t>
            </w:r>
          </w:p>
        </w:tc>
        <w:tc>
          <w:tcPr>
            <w:tcW w:w="653"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4646B266" w14:textId="77777777" w:rsidR="0087624B" w:rsidRPr="00CE5778" w:rsidRDefault="0087624B" w:rsidP="0087624B">
            <w:pPr>
              <w:jc w:val="center"/>
              <w:rPr>
                <w:b/>
                <w:bCs/>
                <w:sz w:val="20"/>
                <w:szCs w:val="20"/>
                <w:lang w:val="en-GB" w:eastAsia="en-US"/>
              </w:rPr>
            </w:pPr>
            <w:r w:rsidRPr="00CE5778">
              <w:rPr>
                <w:b/>
                <w:bCs/>
                <w:sz w:val="20"/>
                <w:szCs w:val="20"/>
                <w:lang w:val="en-GB" w:eastAsia="en-US"/>
              </w:rPr>
              <w:t>111</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2136BC30" w14:textId="77777777" w:rsidR="0087624B" w:rsidRPr="00CE5778" w:rsidRDefault="0087624B" w:rsidP="0087624B">
            <w:pPr>
              <w:jc w:val="center"/>
              <w:rPr>
                <w:b/>
                <w:bCs/>
                <w:sz w:val="20"/>
                <w:szCs w:val="20"/>
                <w:lang w:val="en-GB" w:eastAsia="en-US"/>
              </w:rPr>
            </w:pPr>
            <w:r w:rsidRPr="00CE5778">
              <w:rPr>
                <w:b/>
                <w:bCs/>
                <w:sz w:val="20"/>
                <w:szCs w:val="20"/>
                <w:lang w:val="en-GB" w:eastAsia="en-US"/>
              </w:rPr>
              <w:t>27</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4BDE3BB4" w14:textId="77777777" w:rsidR="0087624B" w:rsidRPr="00CE5778" w:rsidRDefault="0087624B" w:rsidP="0087624B">
            <w:pPr>
              <w:jc w:val="center"/>
              <w:rPr>
                <w:b/>
                <w:bCs/>
                <w:sz w:val="20"/>
                <w:szCs w:val="20"/>
                <w:lang w:val="en-GB" w:eastAsia="en-US"/>
              </w:rPr>
            </w:pPr>
            <w:r w:rsidRPr="00CE5778">
              <w:rPr>
                <w:b/>
                <w:bCs/>
                <w:sz w:val="20"/>
                <w:szCs w:val="20"/>
                <w:lang w:val="en-GB" w:eastAsia="en-US"/>
              </w:rPr>
              <w:t>3</w:t>
            </w:r>
          </w:p>
        </w:tc>
        <w:tc>
          <w:tcPr>
            <w:tcW w:w="106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27A5400F" w14:textId="77777777" w:rsidR="0087624B" w:rsidRPr="00CE5778" w:rsidRDefault="0087624B" w:rsidP="0087624B">
            <w:pPr>
              <w:jc w:val="center"/>
              <w:rPr>
                <w:b/>
                <w:bCs/>
                <w:sz w:val="20"/>
                <w:szCs w:val="20"/>
                <w:lang w:val="en-GB" w:eastAsia="en-US"/>
              </w:rPr>
            </w:pPr>
            <w:r w:rsidRPr="00CE5778">
              <w:rPr>
                <w:b/>
                <w:bCs/>
                <w:sz w:val="20"/>
                <w:szCs w:val="20"/>
                <w:lang w:val="en-GB" w:eastAsia="en-US"/>
              </w:rPr>
              <w:t>375</w:t>
            </w:r>
          </w:p>
        </w:tc>
        <w:tc>
          <w:tcPr>
            <w:tcW w:w="261" w:type="dxa"/>
            <w:vMerge/>
            <w:tcBorders>
              <w:top w:val="nil"/>
              <w:left w:val="nil"/>
              <w:bottom w:val="nil"/>
              <w:right w:val="nil"/>
            </w:tcBorders>
            <w:vAlign w:val="center"/>
            <w:hideMark/>
          </w:tcPr>
          <w:p w14:paraId="099746DC" w14:textId="77777777" w:rsidR="0087624B" w:rsidRPr="00CE5778" w:rsidRDefault="0087624B" w:rsidP="0087624B">
            <w:pPr>
              <w:rPr>
                <w:sz w:val="20"/>
                <w:szCs w:val="20"/>
                <w:lang w:val="en-GB" w:eastAsia="en-US"/>
              </w:rPr>
            </w:pPr>
          </w:p>
        </w:tc>
        <w:tc>
          <w:tcPr>
            <w:tcW w:w="1020"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0B861D5F"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203</w:t>
            </w:r>
          </w:p>
        </w:tc>
        <w:tc>
          <w:tcPr>
            <w:tcW w:w="653" w:type="dxa"/>
            <w:tcBorders>
              <w:top w:val="nil"/>
              <w:left w:val="nil"/>
              <w:bottom w:val="single" w:sz="8" w:space="0" w:color="auto"/>
              <w:right w:val="single" w:sz="8" w:space="0" w:color="auto"/>
            </w:tcBorders>
            <w:shd w:val="clear" w:color="auto" w:fill="FBE4D5" w:themeFill="accent2" w:themeFillTint="33"/>
            <w:vAlign w:val="center"/>
          </w:tcPr>
          <w:p w14:paraId="332188E0"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172</w:t>
            </w:r>
          </w:p>
        </w:tc>
        <w:tc>
          <w:tcPr>
            <w:tcW w:w="1063" w:type="dxa"/>
            <w:tcBorders>
              <w:top w:val="nil"/>
              <w:left w:val="nil"/>
              <w:bottom w:val="single" w:sz="8" w:space="0" w:color="auto"/>
              <w:right w:val="single" w:sz="8" w:space="0" w:color="auto"/>
            </w:tcBorders>
            <w:shd w:val="clear" w:color="auto" w:fill="FBE4D5" w:themeFill="accent2" w:themeFillTint="33"/>
            <w:vAlign w:val="center"/>
          </w:tcPr>
          <w:p w14:paraId="288CB82B"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375</w:t>
            </w:r>
          </w:p>
        </w:tc>
      </w:tr>
      <w:tr w:rsidR="0087624B" w:rsidRPr="00512BE3" w14:paraId="1C188DC2"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4C13AB87"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 xml:space="preserve">RC Tuzla </w:t>
            </w:r>
          </w:p>
        </w:tc>
        <w:tc>
          <w:tcPr>
            <w:tcW w:w="1093"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29A83A7A" w14:textId="77777777" w:rsidR="0087624B" w:rsidRPr="00CE5778" w:rsidRDefault="0087624B" w:rsidP="0087624B">
            <w:pPr>
              <w:jc w:val="center"/>
              <w:rPr>
                <w:b/>
                <w:bCs/>
                <w:sz w:val="20"/>
                <w:szCs w:val="20"/>
                <w:lang w:val="en-GB" w:eastAsia="en-US"/>
              </w:rPr>
            </w:pPr>
            <w:r w:rsidRPr="00CE5778">
              <w:rPr>
                <w:b/>
                <w:bCs/>
                <w:sz w:val="20"/>
                <w:szCs w:val="20"/>
                <w:lang w:val="en-GB" w:eastAsia="en-US"/>
              </w:rPr>
              <w:t>203</w:t>
            </w:r>
          </w:p>
        </w:tc>
        <w:tc>
          <w:tcPr>
            <w:tcW w:w="653"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35D82B65" w14:textId="77777777" w:rsidR="0087624B" w:rsidRPr="00CE5778" w:rsidRDefault="0087624B" w:rsidP="0087624B">
            <w:pPr>
              <w:jc w:val="center"/>
              <w:rPr>
                <w:b/>
                <w:bCs/>
                <w:sz w:val="20"/>
                <w:szCs w:val="20"/>
                <w:lang w:val="en-GB" w:eastAsia="en-US"/>
              </w:rPr>
            </w:pPr>
            <w:r w:rsidRPr="00CE5778">
              <w:rPr>
                <w:b/>
                <w:bCs/>
                <w:sz w:val="20"/>
                <w:szCs w:val="20"/>
                <w:lang w:val="en-GB" w:eastAsia="en-US"/>
              </w:rPr>
              <w:t>156</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410589B3" w14:textId="77777777" w:rsidR="0087624B" w:rsidRPr="00CE5778" w:rsidRDefault="0087624B" w:rsidP="0087624B">
            <w:pPr>
              <w:jc w:val="center"/>
              <w:rPr>
                <w:b/>
                <w:bCs/>
                <w:sz w:val="20"/>
                <w:szCs w:val="20"/>
                <w:lang w:val="en-GB" w:eastAsia="en-US"/>
              </w:rPr>
            </w:pPr>
            <w:r w:rsidRPr="00CE5778">
              <w:rPr>
                <w:b/>
                <w:bCs/>
                <w:sz w:val="20"/>
                <w:szCs w:val="20"/>
                <w:lang w:val="en-GB" w:eastAsia="en-US"/>
              </w:rPr>
              <w:t>60</w:t>
            </w:r>
          </w:p>
        </w:tc>
        <w:tc>
          <w:tcPr>
            <w:tcW w:w="828" w:type="dxa"/>
            <w:tcBorders>
              <w:top w:val="single" w:sz="8" w:space="0" w:color="auto"/>
              <w:left w:val="nil"/>
              <w:bottom w:val="single" w:sz="8" w:space="0" w:color="auto"/>
              <w:right w:val="single" w:sz="8" w:space="0" w:color="auto"/>
            </w:tcBorders>
            <w:shd w:val="clear" w:color="auto" w:fill="EDEDED" w:themeFill="accent3" w:themeFillTint="33"/>
            <w:vAlign w:val="center"/>
          </w:tcPr>
          <w:p w14:paraId="0C8060DC" w14:textId="77777777" w:rsidR="0087624B" w:rsidRPr="00CE5778" w:rsidRDefault="0087624B" w:rsidP="0087624B">
            <w:pPr>
              <w:jc w:val="center"/>
              <w:rPr>
                <w:b/>
                <w:bCs/>
                <w:sz w:val="20"/>
                <w:szCs w:val="20"/>
                <w:lang w:val="en-GB" w:eastAsia="en-US"/>
              </w:rPr>
            </w:pPr>
            <w:r w:rsidRPr="00CE5778">
              <w:rPr>
                <w:b/>
                <w:bCs/>
                <w:sz w:val="20"/>
                <w:szCs w:val="20"/>
                <w:lang w:val="en-GB" w:eastAsia="en-US"/>
              </w:rPr>
              <w:t>0</w:t>
            </w:r>
          </w:p>
        </w:tc>
        <w:tc>
          <w:tcPr>
            <w:tcW w:w="106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3410A0AE" w14:textId="77777777" w:rsidR="0087624B" w:rsidRPr="00CE5778" w:rsidRDefault="0087624B" w:rsidP="0087624B">
            <w:pPr>
              <w:jc w:val="center"/>
              <w:rPr>
                <w:b/>
                <w:bCs/>
                <w:sz w:val="20"/>
                <w:szCs w:val="20"/>
                <w:lang w:val="en-GB" w:eastAsia="en-US"/>
              </w:rPr>
            </w:pPr>
            <w:r w:rsidRPr="00CE5778">
              <w:rPr>
                <w:b/>
                <w:bCs/>
                <w:sz w:val="20"/>
                <w:szCs w:val="20"/>
                <w:lang w:val="en-GB" w:eastAsia="en-US"/>
              </w:rPr>
              <w:t>419</w:t>
            </w:r>
          </w:p>
        </w:tc>
        <w:tc>
          <w:tcPr>
            <w:tcW w:w="261" w:type="dxa"/>
            <w:vMerge/>
            <w:tcBorders>
              <w:top w:val="nil"/>
              <w:left w:val="nil"/>
              <w:bottom w:val="nil"/>
              <w:right w:val="nil"/>
            </w:tcBorders>
            <w:vAlign w:val="center"/>
            <w:hideMark/>
          </w:tcPr>
          <w:p w14:paraId="7CF0F4FF" w14:textId="77777777" w:rsidR="0087624B" w:rsidRPr="00CE5778" w:rsidRDefault="0087624B" w:rsidP="0087624B">
            <w:pPr>
              <w:rPr>
                <w:sz w:val="20"/>
                <w:szCs w:val="20"/>
                <w:lang w:val="en-GB" w:eastAsia="en-US"/>
              </w:rPr>
            </w:pPr>
          </w:p>
        </w:tc>
        <w:tc>
          <w:tcPr>
            <w:tcW w:w="1020"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42F3C6E9"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248</w:t>
            </w:r>
          </w:p>
        </w:tc>
        <w:tc>
          <w:tcPr>
            <w:tcW w:w="653" w:type="dxa"/>
            <w:tcBorders>
              <w:top w:val="nil"/>
              <w:left w:val="nil"/>
              <w:bottom w:val="single" w:sz="8" w:space="0" w:color="auto"/>
              <w:right w:val="single" w:sz="8" w:space="0" w:color="auto"/>
            </w:tcBorders>
            <w:shd w:val="clear" w:color="auto" w:fill="FBE4D5" w:themeFill="accent2" w:themeFillTint="33"/>
            <w:vAlign w:val="center"/>
          </w:tcPr>
          <w:p w14:paraId="1D229E41"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171</w:t>
            </w:r>
          </w:p>
        </w:tc>
        <w:tc>
          <w:tcPr>
            <w:tcW w:w="1063" w:type="dxa"/>
            <w:tcBorders>
              <w:top w:val="nil"/>
              <w:left w:val="nil"/>
              <w:bottom w:val="single" w:sz="8" w:space="0" w:color="auto"/>
              <w:right w:val="single" w:sz="8" w:space="0" w:color="auto"/>
            </w:tcBorders>
            <w:shd w:val="clear" w:color="auto" w:fill="FBE4D5" w:themeFill="accent2" w:themeFillTint="33"/>
            <w:vAlign w:val="center"/>
          </w:tcPr>
          <w:p w14:paraId="541DF3A3"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419</w:t>
            </w:r>
          </w:p>
        </w:tc>
      </w:tr>
      <w:tr w:rsidR="0087624B" w:rsidRPr="00512BE3" w14:paraId="1FBA68D0" w14:textId="77777777" w:rsidTr="0087624B">
        <w:trPr>
          <w:trHeight w:val="296"/>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75030146"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UKUPNO</w:t>
            </w:r>
          </w:p>
        </w:tc>
        <w:tc>
          <w:tcPr>
            <w:tcW w:w="109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0F54C44F" w14:textId="77777777" w:rsidR="0087624B" w:rsidRPr="00CE5778" w:rsidRDefault="0087624B" w:rsidP="0087624B">
            <w:pPr>
              <w:jc w:val="center"/>
              <w:rPr>
                <w:b/>
                <w:bCs/>
                <w:sz w:val="20"/>
                <w:szCs w:val="20"/>
                <w:lang w:val="en-GB" w:eastAsia="en-US"/>
              </w:rPr>
            </w:pPr>
            <w:r w:rsidRPr="00CE5778">
              <w:rPr>
                <w:b/>
                <w:bCs/>
                <w:sz w:val="20"/>
                <w:szCs w:val="20"/>
                <w:lang w:val="en-GB" w:eastAsia="en-US"/>
              </w:rPr>
              <w:t>862</w:t>
            </w:r>
          </w:p>
        </w:tc>
        <w:tc>
          <w:tcPr>
            <w:tcW w:w="65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41FBB123" w14:textId="77777777" w:rsidR="0087624B" w:rsidRPr="00CE5778" w:rsidRDefault="0087624B" w:rsidP="0087624B">
            <w:pPr>
              <w:jc w:val="center"/>
              <w:rPr>
                <w:b/>
                <w:bCs/>
                <w:sz w:val="20"/>
                <w:szCs w:val="20"/>
                <w:lang w:val="en-GB" w:eastAsia="en-US"/>
              </w:rPr>
            </w:pPr>
            <w:r w:rsidRPr="00CE5778">
              <w:rPr>
                <w:b/>
                <w:bCs/>
                <w:sz w:val="20"/>
                <w:szCs w:val="20"/>
                <w:lang w:val="en-GB" w:eastAsia="en-US"/>
              </w:rPr>
              <w:t>799</w:t>
            </w:r>
          </w:p>
        </w:tc>
        <w:tc>
          <w:tcPr>
            <w:tcW w:w="828"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6FC76C85" w14:textId="77777777" w:rsidR="0087624B" w:rsidRPr="00CE5778" w:rsidRDefault="0087624B" w:rsidP="0087624B">
            <w:pPr>
              <w:jc w:val="center"/>
              <w:rPr>
                <w:b/>
                <w:bCs/>
                <w:sz w:val="20"/>
                <w:szCs w:val="20"/>
                <w:lang w:val="en-GB" w:eastAsia="en-US"/>
              </w:rPr>
            </w:pPr>
            <w:r w:rsidRPr="00CE5778">
              <w:rPr>
                <w:b/>
                <w:bCs/>
                <w:sz w:val="20"/>
                <w:szCs w:val="20"/>
                <w:lang w:val="en-GB" w:eastAsia="en-US"/>
              </w:rPr>
              <w:t>454</w:t>
            </w:r>
          </w:p>
        </w:tc>
        <w:tc>
          <w:tcPr>
            <w:tcW w:w="828"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509B1E3B" w14:textId="77777777" w:rsidR="0087624B" w:rsidRPr="00CE5778" w:rsidRDefault="0087624B" w:rsidP="0087624B">
            <w:pPr>
              <w:jc w:val="center"/>
              <w:rPr>
                <w:b/>
                <w:bCs/>
                <w:sz w:val="20"/>
                <w:szCs w:val="20"/>
                <w:lang w:val="en-GB" w:eastAsia="en-US"/>
              </w:rPr>
            </w:pPr>
            <w:r w:rsidRPr="00CE5778">
              <w:rPr>
                <w:b/>
                <w:bCs/>
                <w:sz w:val="20"/>
                <w:szCs w:val="20"/>
                <w:lang w:val="en-GB" w:eastAsia="en-US"/>
              </w:rPr>
              <w:t>8</w:t>
            </w:r>
          </w:p>
        </w:tc>
        <w:tc>
          <w:tcPr>
            <w:tcW w:w="1063"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69E39745" w14:textId="77777777" w:rsidR="0087624B" w:rsidRPr="00CE5778" w:rsidRDefault="0087624B" w:rsidP="0087624B">
            <w:pPr>
              <w:jc w:val="center"/>
              <w:rPr>
                <w:b/>
                <w:bCs/>
                <w:sz w:val="20"/>
                <w:szCs w:val="20"/>
                <w:lang w:val="en-GB" w:eastAsia="en-US"/>
              </w:rPr>
            </w:pPr>
            <w:r w:rsidRPr="00CE5778">
              <w:rPr>
                <w:b/>
                <w:bCs/>
                <w:sz w:val="20"/>
                <w:szCs w:val="20"/>
                <w:lang w:val="en-GB" w:eastAsia="en-US"/>
              </w:rPr>
              <w:t>2123</w:t>
            </w:r>
          </w:p>
        </w:tc>
        <w:tc>
          <w:tcPr>
            <w:tcW w:w="261" w:type="dxa"/>
            <w:vMerge/>
            <w:tcBorders>
              <w:top w:val="nil"/>
              <w:left w:val="nil"/>
              <w:bottom w:val="nil"/>
              <w:right w:val="nil"/>
            </w:tcBorders>
            <w:vAlign w:val="center"/>
            <w:hideMark/>
          </w:tcPr>
          <w:p w14:paraId="5B2F2A1A" w14:textId="77777777" w:rsidR="0087624B" w:rsidRPr="00CE5778" w:rsidRDefault="0087624B" w:rsidP="0087624B">
            <w:pPr>
              <w:rPr>
                <w:sz w:val="20"/>
                <w:szCs w:val="20"/>
                <w:lang w:val="en-GB" w:eastAsia="en-US"/>
              </w:rPr>
            </w:pPr>
          </w:p>
        </w:tc>
        <w:tc>
          <w:tcPr>
            <w:tcW w:w="1020"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3B6F00D6"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1200</w:t>
            </w:r>
          </w:p>
        </w:tc>
        <w:tc>
          <w:tcPr>
            <w:tcW w:w="653" w:type="dxa"/>
            <w:tcBorders>
              <w:top w:val="nil"/>
              <w:left w:val="nil"/>
              <w:bottom w:val="single" w:sz="8" w:space="0" w:color="auto"/>
              <w:right w:val="single" w:sz="8" w:space="0" w:color="auto"/>
            </w:tcBorders>
            <w:shd w:val="clear" w:color="auto" w:fill="FBE4D5" w:themeFill="accent2" w:themeFillTint="33"/>
            <w:vAlign w:val="center"/>
          </w:tcPr>
          <w:p w14:paraId="2C7FDFF8"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923</w:t>
            </w:r>
          </w:p>
        </w:tc>
        <w:tc>
          <w:tcPr>
            <w:tcW w:w="1063" w:type="dxa"/>
            <w:tcBorders>
              <w:top w:val="nil"/>
              <w:left w:val="nil"/>
              <w:bottom w:val="single" w:sz="8" w:space="0" w:color="auto"/>
              <w:right w:val="single" w:sz="8" w:space="0" w:color="auto"/>
            </w:tcBorders>
            <w:shd w:val="clear" w:color="auto" w:fill="FBE4D5" w:themeFill="accent2" w:themeFillTint="33"/>
            <w:vAlign w:val="center"/>
          </w:tcPr>
          <w:p w14:paraId="40BFF8D9" w14:textId="77777777" w:rsidR="0087624B" w:rsidRPr="00CE5778" w:rsidRDefault="0087624B" w:rsidP="0087624B">
            <w:pPr>
              <w:jc w:val="center"/>
              <w:rPr>
                <w:b/>
                <w:bCs/>
                <w:iCs/>
                <w:sz w:val="20"/>
                <w:szCs w:val="20"/>
                <w:lang w:val="en-GB" w:eastAsia="en-US"/>
              </w:rPr>
            </w:pPr>
            <w:r w:rsidRPr="00CE5778">
              <w:rPr>
                <w:b/>
                <w:bCs/>
                <w:iCs/>
                <w:sz w:val="20"/>
                <w:szCs w:val="20"/>
                <w:lang w:val="en-GB" w:eastAsia="en-US"/>
              </w:rPr>
              <w:t>2123</w:t>
            </w:r>
          </w:p>
        </w:tc>
      </w:tr>
      <w:tr w:rsidR="0087624B" w:rsidRPr="00512BE3" w14:paraId="2F23C88C" w14:textId="77777777" w:rsidTr="0087624B">
        <w:trPr>
          <w:trHeight w:val="282"/>
        </w:trPr>
        <w:tc>
          <w:tcPr>
            <w:tcW w:w="59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D53AE15" w14:textId="77777777" w:rsidR="0087624B" w:rsidRPr="00CE5778" w:rsidRDefault="0087624B" w:rsidP="0087624B">
            <w:pPr>
              <w:jc w:val="center"/>
              <w:rPr>
                <w:b/>
                <w:bCs/>
                <w:sz w:val="20"/>
                <w:szCs w:val="20"/>
                <w:lang w:val="en-GB" w:eastAsia="en-US"/>
              </w:rPr>
            </w:pPr>
            <w:r w:rsidRPr="00CE5778">
              <w:rPr>
                <w:b/>
                <w:bCs/>
                <w:sz w:val="20"/>
                <w:szCs w:val="20"/>
                <w:lang w:val="en-GB" w:eastAsia="en-US"/>
              </w:rPr>
              <w:t> </w:t>
            </w:r>
          </w:p>
        </w:tc>
        <w:tc>
          <w:tcPr>
            <w:tcW w:w="261" w:type="dxa"/>
            <w:vMerge w:val="restart"/>
            <w:tcBorders>
              <w:top w:val="nil"/>
              <w:left w:val="nil"/>
              <w:bottom w:val="nil"/>
              <w:right w:val="single" w:sz="8" w:space="0" w:color="auto"/>
            </w:tcBorders>
            <w:vAlign w:val="center"/>
            <w:hideMark/>
          </w:tcPr>
          <w:p w14:paraId="1E4A3027" w14:textId="77777777" w:rsidR="0087624B" w:rsidRPr="00CE5778" w:rsidRDefault="0087624B" w:rsidP="0087624B">
            <w:pPr>
              <w:rPr>
                <w:sz w:val="20"/>
                <w:szCs w:val="20"/>
                <w:lang w:val="en-GB" w:eastAsia="en-US"/>
              </w:rPr>
            </w:pPr>
          </w:p>
        </w:tc>
        <w:tc>
          <w:tcPr>
            <w:tcW w:w="1020" w:type="dxa"/>
            <w:tcBorders>
              <w:top w:val="nil"/>
              <w:left w:val="nil"/>
              <w:bottom w:val="single" w:sz="8" w:space="0" w:color="auto"/>
              <w:right w:val="single" w:sz="8" w:space="0" w:color="auto"/>
            </w:tcBorders>
            <w:shd w:val="clear" w:color="auto" w:fill="auto"/>
            <w:vAlign w:val="center"/>
            <w:hideMark/>
          </w:tcPr>
          <w:p w14:paraId="1F25F773" w14:textId="77777777" w:rsidR="0087624B" w:rsidRPr="00CE5778" w:rsidRDefault="0087624B" w:rsidP="0087624B">
            <w:pPr>
              <w:rPr>
                <w:sz w:val="20"/>
                <w:szCs w:val="20"/>
                <w:lang w:val="en-GB" w:eastAsia="en-US"/>
              </w:rPr>
            </w:pPr>
            <w:r w:rsidRPr="00CE5778">
              <w:rPr>
                <w:sz w:val="20"/>
                <w:szCs w:val="20"/>
                <w:lang w:val="en-GB" w:eastAsia="en-US"/>
              </w:rPr>
              <w:t> </w:t>
            </w:r>
          </w:p>
        </w:tc>
        <w:tc>
          <w:tcPr>
            <w:tcW w:w="1717" w:type="dxa"/>
            <w:gridSpan w:val="2"/>
            <w:tcBorders>
              <w:top w:val="single" w:sz="8" w:space="0" w:color="auto"/>
              <w:left w:val="nil"/>
              <w:bottom w:val="single" w:sz="8" w:space="0" w:color="auto"/>
              <w:right w:val="single" w:sz="8" w:space="0" w:color="000000"/>
            </w:tcBorders>
            <w:shd w:val="clear" w:color="auto" w:fill="auto"/>
            <w:vAlign w:val="center"/>
            <w:hideMark/>
          </w:tcPr>
          <w:p w14:paraId="0E92C1DC" w14:textId="77777777" w:rsidR="0087624B" w:rsidRPr="00CE5778" w:rsidRDefault="0087624B" w:rsidP="0087624B">
            <w:pPr>
              <w:rPr>
                <w:sz w:val="20"/>
                <w:szCs w:val="20"/>
                <w:lang w:val="en-GB" w:eastAsia="en-US"/>
              </w:rPr>
            </w:pPr>
            <w:r w:rsidRPr="00CE5778">
              <w:rPr>
                <w:sz w:val="20"/>
                <w:szCs w:val="20"/>
                <w:lang w:val="en-GB" w:eastAsia="en-US"/>
              </w:rPr>
              <w:t> </w:t>
            </w:r>
          </w:p>
        </w:tc>
      </w:tr>
      <w:tr w:rsidR="0087624B" w:rsidRPr="00512BE3" w14:paraId="764AD5F7" w14:textId="77777777" w:rsidTr="0087624B">
        <w:trPr>
          <w:trHeight w:val="282"/>
        </w:trPr>
        <w:tc>
          <w:tcPr>
            <w:tcW w:w="1492"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0AD18279"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UO UIO</w:t>
            </w:r>
          </w:p>
        </w:tc>
        <w:tc>
          <w:tcPr>
            <w:tcW w:w="1093" w:type="dxa"/>
            <w:tcBorders>
              <w:top w:val="nil"/>
              <w:left w:val="nil"/>
              <w:bottom w:val="single" w:sz="8" w:space="0" w:color="auto"/>
              <w:right w:val="single" w:sz="8" w:space="0" w:color="auto"/>
            </w:tcBorders>
            <w:shd w:val="clear" w:color="auto" w:fill="DEEAF6" w:themeFill="accent1" w:themeFillTint="33"/>
            <w:vAlign w:val="center"/>
            <w:hideMark/>
          </w:tcPr>
          <w:p w14:paraId="228706BE" w14:textId="77777777" w:rsidR="0087624B" w:rsidRPr="00CE5778" w:rsidRDefault="0087624B" w:rsidP="0087624B">
            <w:pPr>
              <w:jc w:val="center"/>
              <w:rPr>
                <w:sz w:val="20"/>
                <w:szCs w:val="20"/>
                <w:lang w:val="en-GB" w:eastAsia="en-US"/>
              </w:rPr>
            </w:pPr>
            <w:r w:rsidRPr="00CE5778">
              <w:rPr>
                <w:sz w:val="20"/>
                <w:szCs w:val="20"/>
                <w:lang w:val="en-GB" w:eastAsia="en-US"/>
              </w:rPr>
              <w:t>3</w:t>
            </w:r>
          </w:p>
        </w:tc>
        <w:tc>
          <w:tcPr>
            <w:tcW w:w="653" w:type="dxa"/>
            <w:tcBorders>
              <w:top w:val="nil"/>
              <w:left w:val="nil"/>
              <w:bottom w:val="single" w:sz="8" w:space="0" w:color="auto"/>
              <w:right w:val="single" w:sz="8" w:space="0" w:color="auto"/>
            </w:tcBorders>
            <w:shd w:val="clear" w:color="auto" w:fill="DEEAF6" w:themeFill="accent1" w:themeFillTint="33"/>
            <w:vAlign w:val="center"/>
            <w:hideMark/>
          </w:tcPr>
          <w:p w14:paraId="311A7600" w14:textId="77777777" w:rsidR="0087624B" w:rsidRPr="00CE5778" w:rsidRDefault="0087624B" w:rsidP="0087624B">
            <w:pPr>
              <w:jc w:val="center"/>
              <w:rPr>
                <w:sz w:val="20"/>
                <w:szCs w:val="20"/>
                <w:lang w:val="en-GB" w:eastAsia="en-US"/>
              </w:rPr>
            </w:pPr>
            <w:r w:rsidRPr="00CE5778">
              <w:rPr>
                <w:sz w:val="20"/>
                <w:szCs w:val="20"/>
                <w:lang w:val="en-GB" w:eastAsia="en-US"/>
              </w:rPr>
              <w:t>4</w:t>
            </w:r>
          </w:p>
        </w:tc>
        <w:tc>
          <w:tcPr>
            <w:tcW w:w="828" w:type="dxa"/>
            <w:tcBorders>
              <w:top w:val="nil"/>
              <w:left w:val="nil"/>
              <w:bottom w:val="single" w:sz="8" w:space="0" w:color="auto"/>
              <w:right w:val="single" w:sz="8" w:space="0" w:color="auto"/>
            </w:tcBorders>
            <w:shd w:val="clear" w:color="auto" w:fill="DEEAF6" w:themeFill="accent1" w:themeFillTint="33"/>
            <w:vAlign w:val="center"/>
            <w:hideMark/>
          </w:tcPr>
          <w:p w14:paraId="5F2DA2B5" w14:textId="77777777" w:rsidR="0087624B" w:rsidRPr="00CE5778" w:rsidRDefault="0087624B" w:rsidP="0087624B">
            <w:pPr>
              <w:jc w:val="center"/>
              <w:rPr>
                <w:sz w:val="20"/>
                <w:szCs w:val="20"/>
                <w:lang w:val="en-GB" w:eastAsia="en-US"/>
              </w:rPr>
            </w:pPr>
            <w:r w:rsidRPr="00CE5778">
              <w:rPr>
                <w:sz w:val="20"/>
                <w:szCs w:val="20"/>
                <w:lang w:val="en-GB" w:eastAsia="en-US"/>
              </w:rPr>
              <w:t>2</w:t>
            </w:r>
          </w:p>
        </w:tc>
        <w:tc>
          <w:tcPr>
            <w:tcW w:w="828" w:type="dxa"/>
            <w:tcBorders>
              <w:top w:val="nil"/>
              <w:left w:val="nil"/>
              <w:bottom w:val="single" w:sz="8" w:space="0" w:color="auto"/>
              <w:right w:val="single" w:sz="8" w:space="0" w:color="auto"/>
            </w:tcBorders>
            <w:shd w:val="clear" w:color="auto" w:fill="DEEAF6" w:themeFill="accent1" w:themeFillTint="33"/>
            <w:vAlign w:val="center"/>
            <w:hideMark/>
          </w:tcPr>
          <w:p w14:paraId="74C7E93F" w14:textId="77777777" w:rsidR="0087624B" w:rsidRPr="00CE5778" w:rsidRDefault="0087624B" w:rsidP="0087624B">
            <w:pPr>
              <w:jc w:val="center"/>
              <w:rPr>
                <w:sz w:val="20"/>
                <w:szCs w:val="20"/>
                <w:lang w:val="en-GB" w:eastAsia="en-US"/>
              </w:rPr>
            </w:pPr>
            <w:r w:rsidRPr="00CE5778">
              <w:rPr>
                <w:sz w:val="20"/>
                <w:szCs w:val="20"/>
                <w:lang w:val="en-GB" w:eastAsia="en-US"/>
              </w:rPr>
              <w:t>0</w:t>
            </w:r>
          </w:p>
        </w:tc>
        <w:tc>
          <w:tcPr>
            <w:tcW w:w="1063" w:type="dxa"/>
            <w:tcBorders>
              <w:top w:val="nil"/>
              <w:left w:val="nil"/>
              <w:bottom w:val="single" w:sz="8" w:space="0" w:color="auto"/>
              <w:right w:val="single" w:sz="8" w:space="0" w:color="auto"/>
            </w:tcBorders>
            <w:shd w:val="clear" w:color="auto" w:fill="DEEAF6" w:themeFill="accent1" w:themeFillTint="33"/>
            <w:vAlign w:val="center"/>
            <w:hideMark/>
          </w:tcPr>
          <w:p w14:paraId="344BFA84" w14:textId="77777777" w:rsidR="0087624B" w:rsidRPr="00CE5778" w:rsidRDefault="0087624B" w:rsidP="0087624B">
            <w:pPr>
              <w:jc w:val="center"/>
              <w:rPr>
                <w:b/>
                <w:bCs/>
                <w:sz w:val="20"/>
                <w:szCs w:val="20"/>
                <w:lang w:val="en-GB" w:eastAsia="en-US"/>
              </w:rPr>
            </w:pPr>
            <w:r w:rsidRPr="00CE5778">
              <w:rPr>
                <w:b/>
                <w:bCs/>
                <w:sz w:val="20"/>
                <w:szCs w:val="20"/>
                <w:lang w:val="en-GB" w:eastAsia="en-US"/>
              </w:rPr>
              <w:t>9</w:t>
            </w:r>
          </w:p>
        </w:tc>
        <w:tc>
          <w:tcPr>
            <w:tcW w:w="261" w:type="dxa"/>
            <w:vMerge/>
            <w:tcBorders>
              <w:top w:val="nil"/>
              <w:left w:val="nil"/>
              <w:bottom w:val="nil"/>
              <w:right w:val="single" w:sz="8" w:space="0" w:color="auto"/>
            </w:tcBorders>
            <w:vAlign w:val="center"/>
            <w:hideMark/>
          </w:tcPr>
          <w:p w14:paraId="61D671B1" w14:textId="77777777" w:rsidR="0087624B" w:rsidRPr="00CE5778" w:rsidRDefault="0087624B" w:rsidP="0087624B">
            <w:pPr>
              <w:rPr>
                <w:sz w:val="20"/>
                <w:szCs w:val="20"/>
                <w:lang w:val="en-GB" w:eastAsia="en-US"/>
              </w:rPr>
            </w:pPr>
          </w:p>
        </w:tc>
        <w:tc>
          <w:tcPr>
            <w:tcW w:w="1020" w:type="dxa"/>
            <w:tcBorders>
              <w:top w:val="nil"/>
              <w:left w:val="nil"/>
              <w:bottom w:val="single" w:sz="8" w:space="0" w:color="auto"/>
              <w:right w:val="single" w:sz="8" w:space="0" w:color="auto"/>
            </w:tcBorders>
            <w:shd w:val="clear" w:color="auto" w:fill="C5E0B3" w:themeFill="accent6" w:themeFillTint="66"/>
            <w:vAlign w:val="center"/>
            <w:hideMark/>
          </w:tcPr>
          <w:p w14:paraId="7AD48809" w14:textId="77777777" w:rsidR="0087624B" w:rsidRPr="00CE5778" w:rsidRDefault="0087624B" w:rsidP="0087624B">
            <w:pPr>
              <w:jc w:val="center"/>
              <w:rPr>
                <w:b/>
                <w:bCs/>
                <w:sz w:val="20"/>
                <w:szCs w:val="20"/>
                <w:lang w:val="en-GB" w:eastAsia="en-US"/>
              </w:rPr>
            </w:pPr>
            <w:r w:rsidRPr="00CE5778">
              <w:rPr>
                <w:b/>
                <w:bCs/>
                <w:sz w:val="20"/>
                <w:szCs w:val="20"/>
                <w:lang w:val="en-GB" w:eastAsia="en-US"/>
              </w:rPr>
              <w:t>2</w:t>
            </w:r>
          </w:p>
        </w:tc>
        <w:tc>
          <w:tcPr>
            <w:tcW w:w="653" w:type="dxa"/>
            <w:tcBorders>
              <w:top w:val="nil"/>
              <w:left w:val="nil"/>
              <w:bottom w:val="single" w:sz="8" w:space="0" w:color="auto"/>
              <w:right w:val="single" w:sz="8" w:space="0" w:color="auto"/>
            </w:tcBorders>
            <w:shd w:val="clear" w:color="auto" w:fill="C5E0B3" w:themeFill="accent6" w:themeFillTint="66"/>
            <w:vAlign w:val="center"/>
            <w:hideMark/>
          </w:tcPr>
          <w:p w14:paraId="4673C152" w14:textId="77777777" w:rsidR="0087624B" w:rsidRPr="00CE5778" w:rsidRDefault="0087624B" w:rsidP="0087624B">
            <w:pPr>
              <w:jc w:val="center"/>
              <w:rPr>
                <w:b/>
                <w:bCs/>
                <w:sz w:val="20"/>
                <w:szCs w:val="20"/>
                <w:lang w:val="en-GB" w:eastAsia="en-US"/>
              </w:rPr>
            </w:pPr>
            <w:r w:rsidRPr="00CE5778">
              <w:rPr>
                <w:b/>
                <w:bCs/>
                <w:sz w:val="20"/>
                <w:szCs w:val="20"/>
                <w:lang w:val="en-GB" w:eastAsia="en-US"/>
              </w:rPr>
              <w:t>7</w:t>
            </w:r>
          </w:p>
        </w:tc>
        <w:tc>
          <w:tcPr>
            <w:tcW w:w="1063" w:type="dxa"/>
            <w:tcBorders>
              <w:top w:val="nil"/>
              <w:left w:val="nil"/>
              <w:bottom w:val="single" w:sz="8" w:space="0" w:color="auto"/>
              <w:right w:val="single" w:sz="8" w:space="0" w:color="auto"/>
            </w:tcBorders>
            <w:shd w:val="clear" w:color="auto" w:fill="C5E0B3" w:themeFill="accent6" w:themeFillTint="66"/>
            <w:vAlign w:val="center"/>
            <w:hideMark/>
          </w:tcPr>
          <w:p w14:paraId="61CC50F6" w14:textId="77777777" w:rsidR="0087624B" w:rsidRPr="00CE5778" w:rsidRDefault="0087624B" w:rsidP="0087624B">
            <w:pPr>
              <w:jc w:val="center"/>
              <w:rPr>
                <w:b/>
                <w:bCs/>
                <w:sz w:val="20"/>
                <w:szCs w:val="20"/>
                <w:lang w:val="en-GB" w:eastAsia="en-US"/>
              </w:rPr>
            </w:pPr>
            <w:r w:rsidRPr="00CE5778">
              <w:rPr>
                <w:b/>
                <w:bCs/>
                <w:sz w:val="20"/>
                <w:szCs w:val="20"/>
                <w:lang w:val="en-GB" w:eastAsia="en-US"/>
              </w:rPr>
              <w:t>9</w:t>
            </w:r>
          </w:p>
        </w:tc>
      </w:tr>
      <w:tr w:rsidR="0087624B" w:rsidRPr="00512BE3" w14:paraId="49F536D6" w14:textId="77777777" w:rsidTr="0087624B">
        <w:trPr>
          <w:trHeight w:val="282"/>
        </w:trPr>
        <w:tc>
          <w:tcPr>
            <w:tcW w:w="1492" w:type="dxa"/>
            <w:tcBorders>
              <w:top w:val="nil"/>
              <w:left w:val="single" w:sz="8" w:space="0" w:color="auto"/>
              <w:bottom w:val="nil"/>
              <w:right w:val="nil"/>
            </w:tcBorders>
            <w:shd w:val="clear" w:color="auto" w:fill="auto"/>
            <w:noWrap/>
            <w:vAlign w:val="center"/>
            <w:hideMark/>
          </w:tcPr>
          <w:p w14:paraId="2FFF5473" w14:textId="77777777" w:rsidR="0087624B" w:rsidRPr="00CE5778" w:rsidRDefault="0087624B" w:rsidP="0087624B">
            <w:pPr>
              <w:rPr>
                <w:color w:val="000000"/>
                <w:sz w:val="20"/>
                <w:szCs w:val="20"/>
                <w:lang w:val="en-GB" w:eastAsia="en-US"/>
              </w:rPr>
            </w:pPr>
            <w:r w:rsidRPr="00CE5778">
              <w:rPr>
                <w:color w:val="000000"/>
                <w:sz w:val="20"/>
                <w:szCs w:val="20"/>
                <w:lang w:val="en-GB" w:eastAsia="en-US"/>
              </w:rPr>
              <w:t> </w:t>
            </w:r>
          </w:p>
        </w:tc>
        <w:tc>
          <w:tcPr>
            <w:tcW w:w="1093" w:type="dxa"/>
            <w:tcBorders>
              <w:top w:val="nil"/>
              <w:left w:val="nil"/>
              <w:bottom w:val="nil"/>
              <w:right w:val="nil"/>
            </w:tcBorders>
            <w:shd w:val="clear" w:color="auto" w:fill="auto"/>
            <w:noWrap/>
            <w:vAlign w:val="bottom"/>
            <w:hideMark/>
          </w:tcPr>
          <w:p w14:paraId="71579305" w14:textId="77777777" w:rsidR="0087624B" w:rsidRPr="00CE5778" w:rsidRDefault="0087624B" w:rsidP="0087624B">
            <w:pPr>
              <w:rPr>
                <w:sz w:val="20"/>
                <w:szCs w:val="20"/>
                <w:lang w:val="en-GB" w:eastAsia="en-US"/>
              </w:rPr>
            </w:pPr>
          </w:p>
        </w:tc>
        <w:tc>
          <w:tcPr>
            <w:tcW w:w="653" w:type="dxa"/>
            <w:tcBorders>
              <w:top w:val="nil"/>
              <w:left w:val="nil"/>
              <w:bottom w:val="nil"/>
              <w:right w:val="nil"/>
            </w:tcBorders>
            <w:shd w:val="clear" w:color="auto" w:fill="auto"/>
            <w:noWrap/>
            <w:vAlign w:val="bottom"/>
            <w:hideMark/>
          </w:tcPr>
          <w:p w14:paraId="47B01F73" w14:textId="77777777" w:rsidR="0087624B" w:rsidRPr="00CE5778" w:rsidRDefault="0087624B" w:rsidP="0087624B">
            <w:pPr>
              <w:rPr>
                <w:sz w:val="20"/>
                <w:szCs w:val="20"/>
                <w:lang w:val="en-GB" w:eastAsia="en-US"/>
              </w:rPr>
            </w:pPr>
          </w:p>
        </w:tc>
        <w:tc>
          <w:tcPr>
            <w:tcW w:w="828" w:type="dxa"/>
            <w:tcBorders>
              <w:top w:val="nil"/>
              <w:left w:val="nil"/>
              <w:bottom w:val="nil"/>
              <w:right w:val="nil"/>
            </w:tcBorders>
            <w:shd w:val="clear" w:color="auto" w:fill="auto"/>
            <w:noWrap/>
            <w:vAlign w:val="bottom"/>
            <w:hideMark/>
          </w:tcPr>
          <w:p w14:paraId="4AB369B3" w14:textId="77777777" w:rsidR="0087624B" w:rsidRPr="00CE5778" w:rsidRDefault="0087624B" w:rsidP="0087624B">
            <w:pPr>
              <w:rPr>
                <w:sz w:val="20"/>
                <w:szCs w:val="20"/>
                <w:lang w:val="en-GB" w:eastAsia="en-US"/>
              </w:rPr>
            </w:pPr>
          </w:p>
        </w:tc>
        <w:tc>
          <w:tcPr>
            <w:tcW w:w="828" w:type="dxa"/>
            <w:tcBorders>
              <w:top w:val="nil"/>
              <w:left w:val="nil"/>
              <w:bottom w:val="nil"/>
              <w:right w:val="nil"/>
            </w:tcBorders>
            <w:shd w:val="clear" w:color="auto" w:fill="auto"/>
            <w:noWrap/>
            <w:vAlign w:val="bottom"/>
            <w:hideMark/>
          </w:tcPr>
          <w:p w14:paraId="5FEAD995" w14:textId="77777777" w:rsidR="0087624B" w:rsidRPr="00CE5778" w:rsidRDefault="0087624B" w:rsidP="0087624B">
            <w:pPr>
              <w:rPr>
                <w:sz w:val="20"/>
                <w:szCs w:val="20"/>
                <w:lang w:val="en-GB" w:eastAsia="en-US"/>
              </w:rPr>
            </w:pPr>
          </w:p>
        </w:tc>
        <w:tc>
          <w:tcPr>
            <w:tcW w:w="1063" w:type="dxa"/>
            <w:tcBorders>
              <w:top w:val="nil"/>
              <w:left w:val="nil"/>
              <w:bottom w:val="nil"/>
              <w:right w:val="single" w:sz="8" w:space="0" w:color="auto"/>
            </w:tcBorders>
            <w:shd w:val="clear" w:color="auto" w:fill="auto"/>
            <w:noWrap/>
            <w:vAlign w:val="center"/>
            <w:hideMark/>
          </w:tcPr>
          <w:p w14:paraId="4FAA1600" w14:textId="77777777" w:rsidR="0087624B" w:rsidRPr="00CE5778" w:rsidRDefault="0087624B" w:rsidP="0087624B">
            <w:pPr>
              <w:rPr>
                <w:sz w:val="20"/>
                <w:szCs w:val="20"/>
                <w:lang w:val="en-GB" w:eastAsia="en-US"/>
              </w:rPr>
            </w:pPr>
            <w:r w:rsidRPr="00CE5778">
              <w:rPr>
                <w:sz w:val="20"/>
                <w:szCs w:val="20"/>
                <w:lang w:val="en-GB" w:eastAsia="en-US"/>
              </w:rPr>
              <w:t> </w:t>
            </w:r>
          </w:p>
        </w:tc>
        <w:tc>
          <w:tcPr>
            <w:tcW w:w="261" w:type="dxa"/>
            <w:vMerge/>
            <w:tcBorders>
              <w:top w:val="nil"/>
              <w:left w:val="nil"/>
              <w:bottom w:val="nil"/>
              <w:right w:val="single" w:sz="8" w:space="0" w:color="auto"/>
            </w:tcBorders>
            <w:vAlign w:val="center"/>
            <w:hideMark/>
          </w:tcPr>
          <w:p w14:paraId="4B1AD4EB" w14:textId="77777777" w:rsidR="0087624B" w:rsidRPr="00CE5778" w:rsidRDefault="0087624B" w:rsidP="0087624B">
            <w:pPr>
              <w:rPr>
                <w:sz w:val="20"/>
                <w:szCs w:val="20"/>
                <w:lang w:val="en-GB" w:eastAsia="en-US"/>
              </w:rPr>
            </w:pPr>
          </w:p>
        </w:tc>
        <w:tc>
          <w:tcPr>
            <w:tcW w:w="1020" w:type="dxa"/>
            <w:tcBorders>
              <w:top w:val="nil"/>
              <w:left w:val="nil"/>
              <w:bottom w:val="single" w:sz="8" w:space="0" w:color="auto"/>
              <w:right w:val="single" w:sz="8" w:space="0" w:color="auto"/>
            </w:tcBorders>
            <w:shd w:val="clear" w:color="auto" w:fill="auto"/>
            <w:vAlign w:val="center"/>
            <w:hideMark/>
          </w:tcPr>
          <w:p w14:paraId="5F6709D2" w14:textId="77777777" w:rsidR="0087624B" w:rsidRPr="00CE5778" w:rsidRDefault="0087624B" w:rsidP="0087624B">
            <w:pPr>
              <w:rPr>
                <w:sz w:val="20"/>
                <w:szCs w:val="20"/>
                <w:lang w:val="en-GB" w:eastAsia="en-US"/>
              </w:rPr>
            </w:pPr>
            <w:r w:rsidRPr="00CE5778">
              <w:rPr>
                <w:sz w:val="20"/>
                <w:szCs w:val="20"/>
                <w:lang w:val="en-GB" w:eastAsia="en-US"/>
              </w:rPr>
              <w:t> </w:t>
            </w:r>
          </w:p>
        </w:tc>
        <w:tc>
          <w:tcPr>
            <w:tcW w:w="653" w:type="dxa"/>
            <w:tcBorders>
              <w:top w:val="nil"/>
              <w:left w:val="nil"/>
              <w:bottom w:val="single" w:sz="8" w:space="0" w:color="auto"/>
              <w:right w:val="single" w:sz="8" w:space="0" w:color="auto"/>
            </w:tcBorders>
            <w:shd w:val="clear" w:color="auto" w:fill="auto"/>
            <w:vAlign w:val="center"/>
            <w:hideMark/>
          </w:tcPr>
          <w:p w14:paraId="0EF09DF3" w14:textId="77777777" w:rsidR="0087624B" w:rsidRPr="00CE5778" w:rsidRDefault="0087624B" w:rsidP="0087624B">
            <w:pPr>
              <w:rPr>
                <w:sz w:val="20"/>
                <w:szCs w:val="20"/>
                <w:lang w:val="en-GB" w:eastAsia="en-US"/>
              </w:rPr>
            </w:pPr>
            <w:r w:rsidRPr="00CE5778">
              <w:rPr>
                <w:sz w:val="20"/>
                <w:szCs w:val="20"/>
                <w:lang w:val="en-GB" w:eastAsia="en-US"/>
              </w:rPr>
              <w:t> </w:t>
            </w:r>
          </w:p>
        </w:tc>
        <w:tc>
          <w:tcPr>
            <w:tcW w:w="1063" w:type="dxa"/>
            <w:tcBorders>
              <w:top w:val="nil"/>
              <w:left w:val="nil"/>
              <w:bottom w:val="single" w:sz="8" w:space="0" w:color="auto"/>
              <w:right w:val="single" w:sz="8" w:space="0" w:color="auto"/>
            </w:tcBorders>
            <w:shd w:val="clear" w:color="auto" w:fill="auto"/>
            <w:vAlign w:val="center"/>
            <w:hideMark/>
          </w:tcPr>
          <w:p w14:paraId="3FE832E4" w14:textId="77777777" w:rsidR="0087624B" w:rsidRPr="00CE5778" w:rsidRDefault="0087624B" w:rsidP="0087624B">
            <w:pPr>
              <w:rPr>
                <w:sz w:val="20"/>
                <w:szCs w:val="20"/>
                <w:lang w:val="en-GB" w:eastAsia="en-US"/>
              </w:rPr>
            </w:pPr>
            <w:r w:rsidRPr="00CE5778">
              <w:rPr>
                <w:sz w:val="20"/>
                <w:szCs w:val="20"/>
                <w:lang w:val="en-GB" w:eastAsia="en-US"/>
              </w:rPr>
              <w:t> </w:t>
            </w:r>
          </w:p>
        </w:tc>
      </w:tr>
      <w:tr w:rsidR="0087624B" w:rsidRPr="00512BE3" w14:paraId="2EB372A6" w14:textId="77777777" w:rsidTr="0087624B">
        <w:trPr>
          <w:trHeight w:val="282"/>
        </w:trPr>
        <w:tc>
          <w:tcPr>
            <w:tcW w:w="1492" w:type="dxa"/>
            <w:tcBorders>
              <w:top w:val="single" w:sz="8" w:space="0" w:color="auto"/>
              <w:left w:val="single" w:sz="8" w:space="0" w:color="auto"/>
              <w:bottom w:val="nil"/>
              <w:right w:val="nil"/>
            </w:tcBorders>
            <w:shd w:val="clear" w:color="auto" w:fill="BDD6EE" w:themeFill="accent1" w:themeFillTint="66"/>
            <w:vAlign w:val="center"/>
            <w:hideMark/>
          </w:tcPr>
          <w:p w14:paraId="5F4579B2" w14:textId="77777777" w:rsidR="0087624B" w:rsidRPr="00CE5778" w:rsidRDefault="0087624B" w:rsidP="0087624B">
            <w:pPr>
              <w:jc w:val="center"/>
              <w:rPr>
                <w:b/>
                <w:bCs/>
                <w:color w:val="000000"/>
                <w:sz w:val="20"/>
                <w:szCs w:val="20"/>
                <w:lang w:val="en-GB" w:eastAsia="en-US"/>
              </w:rPr>
            </w:pPr>
            <w:r w:rsidRPr="00CE5778">
              <w:rPr>
                <w:b/>
                <w:bCs/>
                <w:color w:val="000000"/>
                <w:sz w:val="20"/>
                <w:szCs w:val="20"/>
                <w:lang w:val="en-GB" w:eastAsia="en-US"/>
              </w:rPr>
              <w:t>SVEUKUPNO</w:t>
            </w:r>
          </w:p>
        </w:tc>
        <w:tc>
          <w:tcPr>
            <w:tcW w:w="1093" w:type="dxa"/>
            <w:tcBorders>
              <w:top w:val="single" w:sz="8" w:space="0" w:color="auto"/>
              <w:left w:val="single" w:sz="8" w:space="0" w:color="auto"/>
              <w:bottom w:val="nil"/>
              <w:right w:val="single" w:sz="8" w:space="0" w:color="auto"/>
            </w:tcBorders>
            <w:shd w:val="clear" w:color="auto" w:fill="DEEAF6" w:themeFill="accent1" w:themeFillTint="33"/>
            <w:vAlign w:val="center"/>
          </w:tcPr>
          <w:p w14:paraId="075A8639" w14:textId="77777777" w:rsidR="0087624B" w:rsidRPr="00CE5778" w:rsidRDefault="0087624B" w:rsidP="0087624B">
            <w:pPr>
              <w:jc w:val="center"/>
              <w:rPr>
                <w:b/>
                <w:bCs/>
                <w:sz w:val="20"/>
                <w:szCs w:val="20"/>
                <w:lang w:val="en-GB" w:eastAsia="en-US"/>
              </w:rPr>
            </w:pPr>
            <w:r w:rsidRPr="00CE5778">
              <w:rPr>
                <w:b/>
                <w:bCs/>
                <w:sz w:val="20"/>
                <w:szCs w:val="20"/>
                <w:lang w:val="en-GB" w:eastAsia="en-US"/>
              </w:rPr>
              <w:t>865</w:t>
            </w:r>
          </w:p>
        </w:tc>
        <w:tc>
          <w:tcPr>
            <w:tcW w:w="653" w:type="dxa"/>
            <w:tcBorders>
              <w:top w:val="single" w:sz="8" w:space="0" w:color="auto"/>
              <w:left w:val="nil"/>
              <w:bottom w:val="nil"/>
              <w:right w:val="single" w:sz="8" w:space="0" w:color="auto"/>
            </w:tcBorders>
            <w:shd w:val="clear" w:color="auto" w:fill="DEEAF6" w:themeFill="accent1" w:themeFillTint="33"/>
            <w:vAlign w:val="center"/>
          </w:tcPr>
          <w:p w14:paraId="36DBE30B" w14:textId="77777777" w:rsidR="0087624B" w:rsidRPr="00CE5778" w:rsidRDefault="0087624B" w:rsidP="0087624B">
            <w:pPr>
              <w:jc w:val="center"/>
              <w:rPr>
                <w:b/>
                <w:bCs/>
                <w:sz w:val="20"/>
                <w:szCs w:val="20"/>
                <w:lang w:val="en-GB" w:eastAsia="en-US"/>
              </w:rPr>
            </w:pPr>
            <w:r w:rsidRPr="00CE5778">
              <w:rPr>
                <w:b/>
                <w:bCs/>
                <w:sz w:val="20"/>
                <w:szCs w:val="20"/>
                <w:lang w:val="en-GB" w:eastAsia="en-US"/>
              </w:rPr>
              <w:t>803</w:t>
            </w:r>
          </w:p>
        </w:tc>
        <w:tc>
          <w:tcPr>
            <w:tcW w:w="828" w:type="dxa"/>
            <w:tcBorders>
              <w:top w:val="single" w:sz="8" w:space="0" w:color="auto"/>
              <w:left w:val="nil"/>
              <w:bottom w:val="nil"/>
              <w:right w:val="single" w:sz="8" w:space="0" w:color="auto"/>
            </w:tcBorders>
            <w:shd w:val="clear" w:color="auto" w:fill="DEEAF6" w:themeFill="accent1" w:themeFillTint="33"/>
            <w:vAlign w:val="center"/>
          </w:tcPr>
          <w:p w14:paraId="2CA1E886" w14:textId="77777777" w:rsidR="0087624B" w:rsidRPr="00CE5778" w:rsidRDefault="0087624B" w:rsidP="0087624B">
            <w:pPr>
              <w:jc w:val="center"/>
              <w:rPr>
                <w:b/>
                <w:bCs/>
                <w:sz w:val="20"/>
                <w:szCs w:val="20"/>
                <w:lang w:val="en-GB" w:eastAsia="en-US"/>
              </w:rPr>
            </w:pPr>
            <w:r w:rsidRPr="00CE5778">
              <w:rPr>
                <w:b/>
                <w:bCs/>
                <w:sz w:val="20"/>
                <w:szCs w:val="20"/>
                <w:lang w:val="en-GB" w:eastAsia="en-US"/>
              </w:rPr>
              <w:t>456</w:t>
            </w:r>
          </w:p>
        </w:tc>
        <w:tc>
          <w:tcPr>
            <w:tcW w:w="828" w:type="dxa"/>
            <w:tcBorders>
              <w:top w:val="single" w:sz="8" w:space="0" w:color="auto"/>
              <w:left w:val="nil"/>
              <w:bottom w:val="nil"/>
              <w:right w:val="single" w:sz="8" w:space="0" w:color="auto"/>
            </w:tcBorders>
            <w:shd w:val="clear" w:color="auto" w:fill="DEEAF6" w:themeFill="accent1" w:themeFillTint="33"/>
            <w:vAlign w:val="center"/>
          </w:tcPr>
          <w:p w14:paraId="5A623A1D" w14:textId="77777777" w:rsidR="0087624B" w:rsidRPr="00CE5778" w:rsidRDefault="0087624B" w:rsidP="0087624B">
            <w:pPr>
              <w:jc w:val="center"/>
              <w:rPr>
                <w:b/>
                <w:bCs/>
                <w:sz w:val="20"/>
                <w:szCs w:val="20"/>
                <w:lang w:val="en-GB" w:eastAsia="en-US"/>
              </w:rPr>
            </w:pPr>
            <w:r w:rsidRPr="00CE5778">
              <w:rPr>
                <w:b/>
                <w:bCs/>
                <w:sz w:val="20"/>
                <w:szCs w:val="20"/>
                <w:lang w:val="en-GB" w:eastAsia="en-US"/>
              </w:rPr>
              <w:t>8</w:t>
            </w:r>
          </w:p>
        </w:tc>
        <w:tc>
          <w:tcPr>
            <w:tcW w:w="1063" w:type="dxa"/>
            <w:tcBorders>
              <w:top w:val="single" w:sz="8" w:space="0" w:color="auto"/>
              <w:left w:val="nil"/>
              <w:bottom w:val="nil"/>
              <w:right w:val="single" w:sz="8" w:space="0" w:color="auto"/>
            </w:tcBorders>
            <w:shd w:val="clear" w:color="auto" w:fill="DEEAF6" w:themeFill="accent1" w:themeFillTint="33"/>
            <w:vAlign w:val="center"/>
          </w:tcPr>
          <w:p w14:paraId="055C57C9" w14:textId="77777777" w:rsidR="0087624B" w:rsidRPr="00CE5778" w:rsidRDefault="0087624B" w:rsidP="0087624B">
            <w:pPr>
              <w:jc w:val="center"/>
              <w:rPr>
                <w:b/>
                <w:bCs/>
                <w:sz w:val="20"/>
                <w:szCs w:val="20"/>
                <w:lang w:val="en-GB" w:eastAsia="en-US"/>
              </w:rPr>
            </w:pPr>
            <w:r w:rsidRPr="00CE5778">
              <w:rPr>
                <w:b/>
                <w:bCs/>
                <w:sz w:val="20"/>
                <w:szCs w:val="20"/>
                <w:lang w:val="en-GB" w:eastAsia="en-US"/>
              </w:rPr>
              <w:t>2132</w:t>
            </w:r>
          </w:p>
        </w:tc>
        <w:tc>
          <w:tcPr>
            <w:tcW w:w="261" w:type="dxa"/>
            <w:vMerge/>
            <w:tcBorders>
              <w:top w:val="nil"/>
              <w:left w:val="nil"/>
              <w:bottom w:val="nil"/>
              <w:right w:val="single" w:sz="8" w:space="0" w:color="auto"/>
            </w:tcBorders>
            <w:vAlign w:val="center"/>
            <w:hideMark/>
          </w:tcPr>
          <w:p w14:paraId="42A0670D" w14:textId="77777777" w:rsidR="0087624B" w:rsidRPr="00CE5778" w:rsidRDefault="0087624B" w:rsidP="0087624B">
            <w:pPr>
              <w:rPr>
                <w:sz w:val="20"/>
                <w:szCs w:val="20"/>
                <w:lang w:val="en-GB" w:eastAsia="en-US"/>
              </w:rPr>
            </w:pPr>
          </w:p>
        </w:tc>
        <w:tc>
          <w:tcPr>
            <w:tcW w:w="1020" w:type="dxa"/>
            <w:tcBorders>
              <w:top w:val="nil"/>
              <w:left w:val="nil"/>
              <w:bottom w:val="single" w:sz="8" w:space="0" w:color="auto"/>
              <w:right w:val="single" w:sz="8" w:space="0" w:color="auto"/>
            </w:tcBorders>
            <w:shd w:val="clear" w:color="auto" w:fill="C5E0B3" w:themeFill="accent6" w:themeFillTint="66"/>
            <w:vAlign w:val="center"/>
          </w:tcPr>
          <w:p w14:paraId="1E9E3DEF" w14:textId="77777777" w:rsidR="0087624B" w:rsidRPr="00CE5778" w:rsidRDefault="0087624B" w:rsidP="0087624B">
            <w:pPr>
              <w:jc w:val="center"/>
              <w:rPr>
                <w:b/>
                <w:bCs/>
                <w:sz w:val="20"/>
                <w:szCs w:val="20"/>
                <w:lang w:val="en-GB" w:eastAsia="en-US"/>
              </w:rPr>
            </w:pPr>
            <w:r w:rsidRPr="00CE5778">
              <w:rPr>
                <w:b/>
                <w:bCs/>
                <w:sz w:val="20"/>
                <w:szCs w:val="20"/>
                <w:lang w:val="en-GB" w:eastAsia="en-US"/>
              </w:rPr>
              <w:t>1202</w:t>
            </w:r>
          </w:p>
        </w:tc>
        <w:tc>
          <w:tcPr>
            <w:tcW w:w="653" w:type="dxa"/>
            <w:tcBorders>
              <w:top w:val="nil"/>
              <w:left w:val="nil"/>
              <w:bottom w:val="single" w:sz="8" w:space="0" w:color="auto"/>
              <w:right w:val="single" w:sz="8" w:space="0" w:color="auto"/>
            </w:tcBorders>
            <w:shd w:val="clear" w:color="auto" w:fill="C5E0B3" w:themeFill="accent6" w:themeFillTint="66"/>
            <w:vAlign w:val="center"/>
          </w:tcPr>
          <w:p w14:paraId="37BAB5FE" w14:textId="77777777" w:rsidR="0087624B" w:rsidRPr="00CE5778" w:rsidRDefault="0087624B" w:rsidP="0087624B">
            <w:pPr>
              <w:jc w:val="center"/>
              <w:rPr>
                <w:b/>
                <w:bCs/>
                <w:sz w:val="20"/>
                <w:szCs w:val="20"/>
                <w:lang w:val="en-GB" w:eastAsia="en-US"/>
              </w:rPr>
            </w:pPr>
            <w:r w:rsidRPr="00CE5778">
              <w:rPr>
                <w:b/>
                <w:bCs/>
                <w:sz w:val="20"/>
                <w:szCs w:val="20"/>
                <w:lang w:val="en-GB" w:eastAsia="en-US"/>
              </w:rPr>
              <w:t>930</w:t>
            </w:r>
          </w:p>
        </w:tc>
        <w:tc>
          <w:tcPr>
            <w:tcW w:w="1063" w:type="dxa"/>
            <w:tcBorders>
              <w:top w:val="nil"/>
              <w:left w:val="nil"/>
              <w:bottom w:val="single" w:sz="8" w:space="0" w:color="auto"/>
              <w:right w:val="single" w:sz="8" w:space="0" w:color="auto"/>
            </w:tcBorders>
            <w:shd w:val="clear" w:color="auto" w:fill="C5E0B3" w:themeFill="accent6" w:themeFillTint="66"/>
            <w:vAlign w:val="center"/>
          </w:tcPr>
          <w:p w14:paraId="10E4A5A5" w14:textId="77777777" w:rsidR="0087624B" w:rsidRPr="00CE5778" w:rsidRDefault="0087624B" w:rsidP="0087624B">
            <w:pPr>
              <w:jc w:val="center"/>
              <w:rPr>
                <w:b/>
                <w:bCs/>
                <w:sz w:val="20"/>
                <w:szCs w:val="20"/>
                <w:lang w:val="en-GB" w:eastAsia="en-US"/>
              </w:rPr>
            </w:pPr>
            <w:r w:rsidRPr="00CE5778">
              <w:rPr>
                <w:b/>
                <w:bCs/>
                <w:sz w:val="20"/>
                <w:szCs w:val="20"/>
                <w:lang w:val="en-GB" w:eastAsia="en-US"/>
              </w:rPr>
              <w:t>2132</w:t>
            </w:r>
          </w:p>
        </w:tc>
      </w:tr>
      <w:tr w:rsidR="0087624B" w:rsidRPr="00512BE3" w14:paraId="1397FD8E" w14:textId="77777777" w:rsidTr="0087624B">
        <w:trPr>
          <w:trHeight w:val="282"/>
        </w:trPr>
        <w:tc>
          <w:tcPr>
            <w:tcW w:w="1492"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14:paraId="35421DA0"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w:t>
            </w:r>
          </w:p>
        </w:tc>
        <w:tc>
          <w:tcPr>
            <w:tcW w:w="1093"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14:paraId="44775C5D"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40,57</w:t>
            </w:r>
          </w:p>
        </w:tc>
        <w:tc>
          <w:tcPr>
            <w:tcW w:w="653" w:type="dxa"/>
            <w:tcBorders>
              <w:top w:val="single" w:sz="8" w:space="0" w:color="auto"/>
              <w:left w:val="nil"/>
              <w:bottom w:val="single" w:sz="8" w:space="0" w:color="auto"/>
              <w:right w:val="single" w:sz="8" w:space="0" w:color="auto"/>
            </w:tcBorders>
            <w:shd w:val="clear" w:color="auto" w:fill="DEEAF6" w:themeFill="accent1" w:themeFillTint="33"/>
            <w:noWrap/>
            <w:vAlign w:val="bottom"/>
          </w:tcPr>
          <w:p w14:paraId="321F4270"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37,66</w:t>
            </w:r>
          </w:p>
        </w:tc>
        <w:tc>
          <w:tcPr>
            <w:tcW w:w="828" w:type="dxa"/>
            <w:tcBorders>
              <w:top w:val="single" w:sz="8" w:space="0" w:color="auto"/>
              <w:left w:val="nil"/>
              <w:bottom w:val="single" w:sz="8" w:space="0" w:color="auto"/>
              <w:right w:val="single" w:sz="8" w:space="0" w:color="auto"/>
            </w:tcBorders>
            <w:shd w:val="clear" w:color="auto" w:fill="DEEAF6" w:themeFill="accent1" w:themeFillTint="33"/>
            <w:noWrap/>
            <w:vAlign w:val="bottom"/>
          </w:tcPr>
          <w:p w14:paraId="744496AE"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21,39</w:t>
            </w:r>
          </w:p>
        </w:tc>
        <w:tc>
          <w:tcPr>
            <w:tcW w:w="828" w:type="dxa"/>
            <w:tcBorders>
              <w:top w:val="single" w:sz="8" w:space="0" w:color="auto"/>
              <w:left w:val="nil"/>
              <w:bottom w:val="single" w:sz="8" w:space="0" w:color="auto"/>
              <w:right w:val="single" w:sz="8" w:space="0" w:color="auto"/>
            </w:tcBorders>
            <w:shd w:val="clear" w:color="auto" w:fill="DEEAF6" w:themeFill="accent1" w:themeFillTint="33"/>
            <w:noWrap/>
            <w:vAlign w:val="bottom"/>
          </w:tcPr>
          <w:p w14:paraId="065582CE"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0,38</w:t>
            </w:r>
          </w:p>
        </w:tc>
        <w:tc>
          <w:tcPr>
            <w:tcW w:w="1063" w:type="dxa"/>
            <w:tcBorders>
              <w:top w:val="single" w:sz="8" w:space="0" w:color="auto"/>
              <w:left w:val="nil"/>
              <w:bottom w:val="single" w:sz="8" w:space="0" w:color="auto"/>
              <w:right w:val="single" w:sz="8" w:space="0" w:color="auto"/>
            </w:tcBorders>
            <w:shd w:val="clear" w:color="auto" w:fill="DEEAF6" w:themeFill="accent1" w:themeFillTint="33"/>
            <w:noWrap/>
            <w:vAlign w:val="bottom"/>
          </w:tcPr>
          <w:p w14:paraId="1987DA67"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100,00</w:t>
            </w:r>
          </w:p>
        </w:tc>
        <w:tc>
          <w:tcPr>
            <w:tcW w:w="261" w:type="dxa"/>
            <w:tcBorders>
              <w:top w:val="nil"/>
              <w:left w:val="nil"/>
              <w:bottom w:val="nil"/>
              <w:right w:val="nil"/>
            </w:tcBorders>
            <w:shd w:val="clear" w:color="auto" w:fill="auto"/>
            <w:noWrap/>
            <w:vAlign w:val="bottom"/>
            <w:hideMark/>
          </w:tcPr>
          <w:p w14:paraId="0BD2526D" w14:textId="77777777" w:rsidR="0087624B" w:rsidRPr="0087624B" w:rsidRDefault="0087624B" w:rsidP="0087624B">
            <w:pPr>
              <w:rPr>
                <w:color w:val="000000"/>
                <w:sz w:val="20"/>
                <w:szCs w:val="20"/>
                <w:lang w:val="en-GB" w:eastAsia="en-US"/>
              </w:rPr>
            </w:pPr>
          </w:p>
        </w:tc>
        <w:tc>
          <w:tcPr>
            <w:tcW w:w="1020" w:type="dxa"/>
            <w:tcBorders>
              <w:top w:val="nil"/>
              <w:left w:val="single" w:sz="8" w:space="0" w:color="auto"/>
              <w:bottom w:val="single" w:sz="8" w:space="0" w:color="auto"/>
              <w:right w:val="single" w:sz="8" w:space="0" w:color="auto"/>
            </w:tcBorders>
            <w:shd w:val="clear" w:color="auto" w:fill="C5E0B3" w:themeFill="accent6" w:themeFillTint="66"/>
            <w:noWrap/>
            <w:vAlign w:val="bottom"/>
          </w:tcPr>
          <w:p w14:paraId="1EB0CB22"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56,38</w:t>
            </w:r>
          </w:p>
        </w:tc>
        <w:tc>
          <w:tcPr>
            <w:tcW w:w="653" w:type="dxa"/>
            <w:tcBorders>
              <w:top w:val="nil"/>
              <w:left w:val="nil"/>
              <w:bottom w:val="single" w:sz="8" w:space="0" w:color="auto"/>
              <w:right w:val="single" w:sz="8" w:space="0" w:color="auto"/>
            </w:tcBorders>
            <w:shd w:val="clear" w:color="auto" w:fill="C5E0B3" w:themeFill="accent6" w:themeFillTint="66"/>
            <w:noWrap/>
            <w:vAlign w:val="bottom"/>
          </w:tcPr>
          <w:p w14:paraId="7F6D9F47"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43,62</w:t>
            </w:r>
          </w:p>
        </w:tc>
        <w:tc>
          <w:tcPr>
            <w:tcW w:w="1063" w:type="dxa"/>
            <w:tcBorders>
              <w:top w:val="nil"/>
              <w:left w:val="nil"/>
              <w:bottom w:val="single" w:sz="8" w:space="0" w:color="auto"/>
              <w:right w:val="single" w:sz="8" w:space="0" w:color="auto"/>
            </w:tcBorders>
            <w:shd w:val="clear" w:color="auto" w:fill="C5E0B3" w:themeFill="accent6" w:themeFillTint="66"/>
            <w:noWrap/>
            <w:vAlign w:val="bottom"/>
          </w:tcPr>
          <w:p w14:paraId="2B847562" w14:textId="77777777" w:rsidR="0087624B" w:rsidRPr="0087624B" w:rsidRDefault="0087624B" w:rsidP="0087624B">
            <w:pPr>
              <w:jc w:val="center"/>
              <w:rPr>
                <w:b/>
                <w:bCs/>
                <w:color w:val="000000"/>
                <w:sz w:val="20"/>
                <w:szCs w:val="20"/>
                <w:lang w:val="en-GB" w:eastAsia="en-US"/>
              </w:rPr>
            </w:pPr>
            <w:r w:rsidRPr="0087624B">
              <w:rPr>
                <w:b/>
                <w:bCs/>
                <w:color w:val="000000"/>
                <w:sz w:val="20"/>
                <w:szCs w:val="20"/>
                <w:lang w:val="en-GB" w:eastAsia="en-US"/>
              </w:rPr>
              <w:t>100,00</w:t>
            </w:r>
          </w:p>
        </w:tc>
      </w:tr>
    </w:tbl>
    <w:p w14:paraId="45CF0F05" w14:textId="77777777" w:rsidR="00E03901" w:rsidRPr="00512BE3" w:rsidRDefault="00E03901" w:rsidP="00A9154F">
      <w:pPr>
        <w:spacing w:after="40"/>
        <w:jc w:val="both"/>
        <w:rPr>
          <w:rFonts w:eastAsia="Calibri"/>
          <w:i/>
          <w:sz w:val="22"/>
          <w:szCs w:val="22"/>
          <w:lang w:val="sr-Latn-BA"/>
        </w:rPr>
      </w:pPr>
    </w:p>
    <w:p w14:paraId="5376BC0B" w14:textId="413BB8A2" w:rsidR="00B12BBF" w:rsidRPr="00512BE3" w:rsidRDefault="00B12BBF" w:rsidP="00F746D5">
      <w:pPr>
        <w:spacing w:after="40"/>
        <w:jc w:val="both"/>
        <w:rPr>
          <w:bCs/>
          <w:sz w:val="22"/>
          <w:szCs w:val="22"/>
          <w:lang w:val="en-GB"/>
        </w:rPr>
      </w:pPr>
      <w:r w:rsidRPr="00512BE3">
        <w:rPr>
          <w:bCs/>
          <w:sz w:val="22"/>
          <w:szCs w:val="22"/>
          <w:lang w:val="en-GB"/>
        </w:rPr>
        <w:t>Na planu zapošljavanja radi popunjavanja upražnjenih radnih mjesta u organizacionim jedinicama Up</w:t>
      </w:r>
      <w:r w:rsidR="002E77FE" w:rsidRPr="00512BE3">
        <w:rPr>
          <w:bCs/>
          <w:sz w:val="22"/>
          <w:szCs w:val="22"/>
          <w:lang w:val="en-GB"/>
        </w:rPr>
        <w:t>rave, napominjemo da u toku 2022</w:t>
      </w:r>
      <w:r w:rsidRPr="00512BE3">
        <w:rPr>
          <w:bCs/>
          <w:sz w:val="22"/>
          <w:szCs w:val="22"/>
          <w:lang w:val="en-GB"/>
        </w:rPr>
        <w:t xml:space="preserve">.godine nije bilo zapošljavanja po proceduri javnog oglasa, kako radi popunjavanja radnih mjesta na pozicijama državnih službenika, tako ni na pozicijama zaposlenika. </w:t>
      </w:r>
      <w:r w:rsidR="00D41C55">
        <w:rPr>
          <w:bCs/>
          <w:sz w:val="22"/>
          <w:szCs w:val="22"/>
          <w:lang w:val="en-GB"/>
        </w:rPr>
        <w:t>U</w:t>
      </w:r>
      <w:r w:rsidRPr="00512BE3">
        <w:rPr>
          <w:bCs/>
          <w:sz w:val="22"/>
          <w:szCs w:val="22"/>
          <w:lang w:val="en-GB"/>
        </w:rPr>
        <w:t xml:space="preserve"> navedenom periodu su poduzimane radnje u pravcu pokretanja procedure </w:t>
      </w:r>
      <w:r w:rsidR="00D41C55">
        <w:rPr>
          <w:bCs/>
          <w:sz w:val="22"/>
          <w:szCs w:val="22"/>
          <w:lang w:val="en-GB"/>
        </w:rPr>
        <w:t xml:space="preserve">za dobijanje </w:t>
      </w:r>
      <w:r w:rsidRPr="00512BE3">
        <w:rPr>
          <w:bCs/>
          <w:sz w:val="22"/>
          <w:szCs w:val="22"/>
          <w:lang w:val="en-GB"/>
        </w:rPr>
        <w:t>saglasnosti</w:t>
      </w:r>
      <w:r w:rsidR="00D41C55">
        <w:rPr>
          <w:bCs/>
          <w:sz w:val="22"/>
          <w:szCs w:val="22"/>
          <w:lang w:val="en-GB"/>
        </w:rPr>
        <w:t xml:space="preserve"> Savjeta ministara BiH</w:t>
      </w:r>
      <w:r w:rsidRPr="00512BE3">
        <w:rPr>
          <w:bCs/>
          <w:sz w:val="22"/>
          <w:szCs w:val="22"/>
          <w:lang w:val="en-GB"/>
        </w:rPr>
        <w:t xml:space="preserve"> radi zapošljavanja zanavljanjem, i to: 80 izvršilaca na radnim mjestima zaposlenika sa SSS i 85 izvršilaca na radnim mjestima državnih službenika</w:t>
      </w:r>
      <w:r w:rsidR="00D41C55">
        <w:rPr>
          <w:bCs/>
          <w:sz w:val="22"/>
          <w:szCs w:val="22"/>
          <w:lang w:val="en-GB"/>
        </w:rPr>
        <w:t>, međutim tražena saglasnost nije dobijena</w:t>
      </w:r>
      <w:r w:rsidRPr="00512BE3">
        <w:rPr>
          <w:bCs/>
          <w:sz w:val="22"/>
          <w:szCs w:val="22"/>
          <w:lang w:val="en-GB"/>
        </w:rPr>
        <w:t xml:space="preserve">. </w:t>
      </w:r>
    </w:p>
    <w:p w14:paraId="41A9930D" w14:textId="007AA481" w:rsidR="002E77FE" w:rsidRPr="00512BE3" w:rsidRDefault="002E77FE" w:rsidP="002E77FE">
      <w:pPr>
        <w:ind w:firstLine="708"/>
        <w:jc w:val="both"/>
        <w:rPr>
          <w:sz w:val="22"/>
          <w:szCs w:val="22"/>
          <w:lang w:val="en-GB"/>
        </w:rPr>
      </w:pPr>
      <w:r w:rsidRPr="00512BE3">
        <w:rPr>
          <w:sz w:val="22"/>
          <w:szCs w:val="22"/>
          <w:lang w:val="en-GB"/>
        </w:rPr>
        <w:t xml:space="preserve">U toku 2022. godine, u UIO je postupano u ukupno 39 predmeta u postupcima utvrđivanja disciplinske odgovornosti zaposlenih, od čega u 36 predmeta zbog postojanja osnovane sumnje da su učinjene teže povrede službene dužnosti i </w:t>
      </w:r>
      <w:r w:rsidR="00D41C55">
        <w:rPr>
          <w:sz w:val="22"/>
          <w:szCs w:val="22"/>
          <w:lang w:val="en-GB"/>
        </w:rPr>
        <w:t>tri</w:t>
      </w:r>
      <w:r w:rsidRPr="00512BE3">
        <w:rPr>
          <w:sz w:val="22"/>
          <w:szCs w:val="22"/>
          <w:lang w:val="en-GB"/>
        </w:rPr>
        <w:t xml:space="preserve"> predmeta zbog postojanja osnovane sumnje da su učinjene lakše povrede službene dužnosti. Od ukupnog broja, okončano je 27 predmeta, od kojih je u jednom predmetu postupak obustavljen uslijed prestanka radnog odnosa po osnovu izvršenja disciplinske mjere iz drugog disciplinskog postupka, dok su u </w:t>
      </w:r>
      <w:r w:rsidR="00D41C55">
        <w:rPr>
          <w:sz w:val="22"/>
          <w:szCs w:val="22"/>
          <w:lang w:val="en-GB"/>
        </w:rPr>
        <w:t>devet</w:t>
      </w:r>
      <w:r w:rsidRPr="00512BE3">
        <w:rPr>
          <w:sz w:val="22"/>
          <w:szCs w:val="22"/>
          <w:lang w:val="en-GB"/>
        </w:rPr>
        <w:t xml:space="preserve"> predmeta zaposleni oslobođeni disciplinske odgovornosti.  U 17 predmeta je utvrđena discip</w:t>
      </w:r>
      <w:r w:rsidR="00205E35">
        <w:rPr>
          <w:sz w:val="22"/>
          <w:szCs w:val="22"/>
          <w:lang w:val="en-GB"/>
        </w:rPr>
        <w:t>linska odgovornosti zaposlenih i</w:t>
      </w:r>
      <w:r w:rsidRPr="00512BE3">
        <w:rPr>
          <w:sz w:val="22"/>
          <w:szCs w:val="22"/>
          <w:lang w:val="en-GB"/>
        </w:rPr>
        <w:t xml:space="preserve"> izrečene propisane disciplinske mjere: </w:t>
      </w:r>
      <w:r w:rsidR="00205E35">
        <w:rPr>
          <w:sz w:val="22"/>
          <w:szCs w:val="22"/>
          <w:lang w:val="en-GB"/>
        </w:rPr>
        <w:t>jedna</w:t>
      </w:r>
      <w:r w:rsidRPr="00512BE3">
        <w:rPr>
          <w:sz w:val="22"/>
          <w:szCs w:val="22"/>
          <w:lang w:val="en-GB"/>
        </w:rPr>
        <w:t xml:space="preserve"> pismen</w:t>
      </w:r>
      <w:r w:rsidR="00205E35">
        <w:rPr>
          <w:sz w:val="22"/>
          <w:szCs w:val="22"/>
          <w:lang w:val="en-GB"/>
        </w:rPr>
        <w:t>a opomena, dvije</w:t>
      </w:r>
      <w:r w:rsidRPr="00512BE3">
        <w:rPr>
          <w:sz w:val="22"/>
          <w:szCs w:val="22"/>
          <w:lang w:val="en-GB"/>
        </w:rPr>
        <w:t xml:space="preserve"> usmene opomene, </w:t>
      </w:r>
      <w:r w:rsidR="00205E35">
        <w:rPr>
          <w:sz w:val="22"/>
          <w:szCs w:val="22"/>
          <w:lang w:val="en-GB"/>
        </w:rPr>
        <w:t>četiri</w:t>
      </w:r>
      <w:r w:rsidRPr="00512BE3">
        <w:rPr>
          <w:sz w:val="22"/>
          <w:szCs w:val="22"/>
          <w:lang w:val="en-GB"/>
        </w:rPr>
        <w:t xml:space="preserve"> prestanka radnog odnosa, </w:t>
      </w:r>
      <w:r w:rsidR="00205E35">
        <w:rPr>
          <w:sz w:val="22"/>
          <w:szCs w:val="22"/>
          <w:lang w:val="en-GB"/>
        </w:rPr>
        <w:t>jedna</w:t>
      </w:r>
      <w:r w:rsidRPr="00512BE3">
        <w:rPr>
          <w:sz w:val="22"/>
          <w:szCs w:val="22"/>
          <w:lang w:val="en-GB"/>
        </w:rPr>
        <w:t xml:space="preserve"> degradacija na niže radno mjesto ili nižu kategoriju radnog mjesta, te </w:t>
      </w:r>
      <w:r w:rsidR="00205E35">
        <w:rPr>
          <w:sz w:val="22"/>
          <w:szCs w:val="22"/>
          <w:lang w:val="en-GB"/>
        </w:rPr>
        <w:t>devet</w:t>
      </w:r>
      <w:r w:rsidRPr="00512BE3">
        <w:rPr>
          <w:sz w:val="22"/>
          <w:szCs w:val="22"/>
          <w:lang w:val="en-GB"/>
        </w:rPr>
        <w:t xml:space="preserve"> novčanih kazni. Preostalih 12 predmeta je preneseno u </w:t>
      </w:r>
      <w:r w:rsidR="00205E35">
        <w:rPr>
          <w:sz w:val="22"/>
          <w:szCs w:val="22"/>
          <w:lang w:val="en-GB"/>
        </w:rPr>
        <w:t xml:space="preserve">rad u </w:t>
      </w:r>
      <w:r w:rsidRPr="00512BE3">
        <w:rPr>
          <w:sz w:val="22"/>
          <w:szCs w:val="22"/>
          <w:lang w:val="en-GB"/>
        </w:rPr>
        <w:t xml:space="preserve">2023. godinu kao nerješeno, </w:t>
      </w:r>
      <w:r w:rsidR="00205E35">
        <w:rPr>
          <w:sz w:val="22"/>
          <w:szCs w:val="22"/>
          <w:lang w:val="en-GB"/>
        </w:rPr>
        <w:t>od čega je u šest</w:t>
      </w:r>
      <w:r w:rsidRPr="00512BE3">
        <w:rPr>
          <w:sz w:val="22"/>
          <w:szCs w:val="22"/>
          <w:lang w:val="en-GB"/>
        </w:rPr>
        <w:t xml:space="preserve"> slučajeva disciplinski postupak prekinut do pravosnažnog okončanja krivičnih postupaka koji se vode pred nadležnim Sudom</w:t>
      </w:r>
      <w:r w:rsidR="00205E35">
        <w:rPr>
          <w:sz w:val="22"/>
          <w:szCs w:val="22"/>
          <w:lang w:val="en-GB"/>
        </w:rPr>
        <w:t xml:space="preserve"> BiH</w:t>
      </w:r>
      <w:r w:rsidRPr="00512BE3">
        <w:rPr>
          <w:sz w:val="22"/>
          <w:szCs w:val="22"/>
          <w:lang w:val="en-GB"/>
        </w:rPr>
        <w:t xml:space="preserve">. U toku 2022. godine </w:t>
      </w:r>
      <w:r w:rsidR="00205E35">
        <w:rPr>
          <w:sz w:val="22"/>
          <w:szCs w:val="22"/>
          <w:lang w:val="en-GB"/>
        </w:rPr>
        <w:t>provedena su i četiri</w:t>
      </w:r>
      <w:r w:rsidRPr="00512BE3">
        <w:rPr>
          <w:sz w:val="22"/>
          <w:szCs w:val="22"/>
          <w:lang w:val="en-GB"/>
        </w:rPr>
        <w:t xml:space="preserve"> postupka za utvrđivanje mate</w:t>
      </w:r>
      <w:r w:rsidR="00205E35">
        <w:rPr>
          <w:sz w:val="22"/>
          <w:szCs w:val="22"/>
          <w:lang w:val="en-GB"/>
        </w:rPr>
        <w:t>rijalne odgovornosti zaposlenih</w:t>
      </w:r>
      <w:r w:rsidRPr="00512BE3">
        <w:rPr>
          <w:sz w:val="22"/>
          <w:szCs w:val="22"/>
          <w:lang w:val="en-GB"/>
        </w:rPr>
        <w:t xml:space="preserve">. Na dan 31.12.2022.godine suspendovano je </w:t>
      </w:r>
      <w:r w:rsidR="00205E35">
        <w:rPr>
          <w:sz w:val="22"/>
          <w:szCs w:val="22"/>
          <w:lang w:val="en-GB"/>
        </w:rPr>
        <w:t>sedam</w:t>
      </w:r>
      <w:r w:rsidRPr="00512BE3">
        <w:rPr>
          <w:sz w:val="22"/>
          <w:szCs w:val="22"/>
          <w:lang w:val="en-GB"/>
        </w:rPr>
        <w:t xml:space="preserve"> zapo</w:t>
      </w:r>
      <w:r w:rsidR="00205E35">
        <w:rPr>
          <w:sz w:val="22"/>
          <w:szCs w:val="22"/>
          <w:lang w:val="en-GB"/>
        </w:rPr>
        <w:t>sleniih u UIO (pet</w:t>
      </w:r>
      <w:r w:rsidRPr="00512BE3">
        <w:rPr>
          <w:sz w:val="22"/>
          <w:szCs w:val="22"/>
          <w:lang w:val="en-GB"/>
        </w:rPr>
        <w:t xml:space="preserve"> obaveznih suspenzija uslijed potvrđivanja optužnice za krivično djelo učinjeno u vršenju službene dužnosti i </w:t>
      </w:r>
      <w:r w:rsidR="00205E35">
        <w:rPr>
          <w:sz w:val="22"/>
          <w:szCs w:val="22"/>
          <w:lang w:val="en-GB"/>
        </w:rPr>
        <w:t>dvije</w:t>
      </w:r>
      <w:r w:rsidRPr="00512BE3">
        <w:rPr>
          <w:sz w:val="22"/>
          <w:szCs w:val="22"/>
          <w:lang w:val="en-GB"/>
        </w:rPr>
        <w:t xml:space="preserve"> fakultativne suspenzije, od čega je jedna po osnovu pokrenutog disciplinskog postupka, a druga po osnovu potvrđene optužnice).</w:t>
      </w:r>
    </w:p>
    <w:p w14:paraId="0DB20700" w14:textId="641DFC57" w:rsidR="0037270C" w:rsidRPr="00512BE3" w:rsidRDefault="0037270C" w:rsidP="00F746D5">
      <w:pPr>
        <w:jc w:val="both"/>
        <w:rPr>
          <w:sz w:val="22"/>
          <w:szCs w:val="22"/>
          <w:lang w:val="en-GB"/>
        </w:rPr>
      </w:pPr>
      <w:r w:rsidRPr="00512BE3">
        <w:rPr>
          <w:sz w:val="22"/>
          <w:szCs w:val="22"/>
          <w:lang w:val="sr-Latn-BA"/>
        </w:rPr>
        <w:lastRenderedPageBreak/>
        <w:t xml:space="preserve">U </w:t>
      </w:r>
      <w:r w:rsidR="00205E35">
        <w:rPr>
          <w:sz w:val="22"/>
          <w:szCs w:val="22"/>
          <w:lang w:val="sr-Latn-BA"/>
        </w:rPr>
        <w:t xml:space="preserve">oblasti javnih nabavki u </w:t>
      </w:r>
      <w:r w:rsidRPr="00512BE3">
        <w:rPr>
          <w:sz w:val="22"/>
          <w:szCs w:val="22"/>
          <w:lang w:val="sr-Latn-BA"/>
        </w:rPr>
        <w:t>skladu sa Planom nabavki i odobrenim budžetsk</w:t>
      </w:r>
      <w:r w:rsidR="00F406C5" w:rsidRPr="00512BE3">
        <w:rPr>
          <w:sz w:val="22"/>
          <w:szCs w:val="22"/>
          <w:lang w:val="sr-Latn-BA"/>
        </w:rPr>
        <w:t>im sredstvima UIO je u toku 2022</w:t>
      </w:r>
      <w:r w:rsidRPr="00512BE3">
        <w:rPr>
          <w:sz w:val="22"/>
          <w:szCs w:val="22"/>
          <w:lang w:val="sr-Latn-BA"/>
        </w:rPr>
        <w:t>. godine provela postupke javnih nabavki po sljedećim procedurama: 2</w:t>
      </w:r>
      <w:r w:rsidR="00F406C5" w:rsidRPr="00512BE3">
        <w:rPr>
          <w:sz w:val="22"/>
          <w:szCs w:val="22"/>
          <w:lang w:val="sr-Latn-BA"/>
        </w:rPr>
        <w:t>5</w:t>
      </w:r>
      <w:r w:rsidRPr="00512BE3">
        <w:rPr>
          <w:sz w:val="22"/>
          <w:szCs w:val="22"/>
          <w:lang w:val="sr-Latn-BA"/>
        </w:rPr>
        <w:t xml:space="preserve"> otvorenih postupaka, 1</w:t>
      </w:r>
      <w:r w:rsidR="00F406C5" w:rsidRPr="00512BE3">
        <w:rPr>
          <w:sz w:val="22"/>
          <w:szCs w:val="22"/>
          <w:lang w:val="sr-Latn-BA"/>
        </w:rPr>
        <w:t>2</w:t>
      </w:r>
      <w:r w:rsidRPr="00512BE3">
        <w:rPr>
          <w:sz w:val="22"/>
          <w:szCs w:val="22"/>
          <w:lang w:val="sr-Latn-BA"/>
        </w:rPr>
        <w:t xml:space="preserve"> konkurentskih zahtjeva, </w:t>
      </w:r>
      <w:r w:rsidR="00F406C5" w:rsidRPr="00512BE3">
        <w:rPr>
          <w:sz w:val="22"/>
          <w:szCs w:val="22"/>
          <w:lang w:val="sr-Latn-BA"/>
        </w:rPr>
        <w:t>dva pregovaračka</w:t>
      </w:r>
      <w:r w:rsidRPr="00512BE3">
        <w:rPr>
          <w:sz w:val="22"/>
          <w:szCs w:val="22"/>
          <w:lang w:val="sr-Latn-BA"/>
        </w:rPr>
        <w:t xml:space="preserve"> postupaka</w:t>
      </w:r>
      <w:r w:rsidRPr="00512BE3">
        <w:rPr>
          <w:sz w:val="22"/>
          <w:szCs w:val="22"/>
          <w:lang w:val="hr-BA"/>
        </w:rPr>
        <w:t xml:space="preserve"> bez objave obavještenja</w:t>
      </w:r>
      <w:r w:rsidRPr="00512BE3">
        <w:rPr>
          <w:sz w:val="22"/>
          <w:szCs w:val="22"/>
          <w:lang w:val="sr-Latn-BA"/>
        </w:rPr>
        <w:t xml:space="preserve">, </w:t>
      </w:r>
      <w:r w:rsidR="00F406C5" w:rsidRPr="00512BE3">
        <w:rPr>
          <w:sz w:val="22"/>
          <w:szCs w:val="22"/>
          <w:lang w:val="sr-Latn-BA"/>
        </w:rPr>
        <w:t>53</w:t>
      </w:r>
      <w:r w:rsidRPr="00512BE3">
        <w:rPr>
          <w:sz w:val="22"/>
          <w:szCs w:val="22"/>
          <w:lang w:val="sr-Latn-BA"/>
        </w:rPr>
        <w:t xml:space="preserve"> direktnih sporazuma </w:t>
      </w:r>
      <w:r w:rsidRPr="00512BE3">
        <w:rPr>
          <w:sz w:val="22"/>
          <w:szCs w:val="22"/>
          <w:lang w:val="hr-BA"/>
        </w:rPr>
        <w:t>Aneks II dio B-</w:t>
      </w:r>
      <w:r w:rsidR="00F406C5" w:rsidRPr="00512BE3">
        <w:rPr>
          <w:sz w:val="22"/>
          <w:szCs w:val="22"/>
          <w:lang w:val="hr-BA"/>
        </w:rPr>
        <w:t>četri</w:t>
      </w:r>
      <w:r w:rsidRPr="00512BE3">
        <w:rPr>
          <w:sz w:val="22"/>
          <w:szCs w:val="22"/>
          <w:lang w:val="sr-Latn-BA"/>
        </w:rPr>
        <w:t xml:space="preserve"> postupaka. U toku 202</w:t>
      </w:r>
      <w:r w:rsidR="001A2DBA">
        <w:rPr>
          <w:sz w:val="22"/>
          <w:szCs w:val="22"/>
          <w:lang w:val="sr-Latn-BA"/>
        </w:rPr>
        <w:t>2</w:t>
      </w:r>
      <w:r w:rsidRPr="00512BE3">
        <w:rPr>
          <w:sz w:val="22"/>
          <w:szCs w:val="22"/>
          <w:lang w:val="sr-Latn-BA"/>
        </w:rPr>
        <w:t>. godine provedena su tri javna oglasa, i to:</w:t>
      </w:r>
      <w:r w:rsidRPr="00512BE3">
        <w:rPr>
          <w:sz w:val="22"/>
          <w:szCs w:val="22"/>
        </w:rPr>
        <w:t xml:space="preserve"> j</w:t>
      </w:r>
      <w:r w:rsidRPr="00512BE3">
        <w:rPr>
          <w:sz w:val="22"/>
          <w:szCs w:val="22"/>
          <w:lang w:val="sr-Latn-BA"/>
        </w:rPr>
        <w:t>avni oglas</w:t>
      </w:r>
      <w:r w:rsidRPr="00512BE3">
        <w:rPr>
          <w:b/>
          <w:i/>
          <w:sz w:val="22"/>
          <w:szCs w:val="22"/>
          <w:lang w:val="en-GB"/>
        </w:rPr>
        <w:t xml:space="preserve"> </w:t>
      </w:r>
      <w:r w:rsidRPr="00512BE3">
        <w:rPr>
          <w:sz w:val="22"/>
          <w:szCs w:val="22"/>
          <w:lang w:val="en-GB"/>
        </w:rPr>
        <w:t xml:space="preserve">za prikupljanje ponuda za carinski terminal </w:t>
      </w:r>
      <w:r w:rsidR="00F406C5" w:rsidRPr="00512BE3">
        <w:rPr>
          <w:sz w:val="22"/>
          <w:szCs w:val="22"/>
          <w:lang w:val="en-GB"/>
        </w:rPr>
        <w:t>za potrebe Carinske ispostave Sarajevo</w:t>
      </w:r>
      <w:r w:rsidRPr="00512BE3">
        <w:rPr>
          <w:sz w:val="22"/>
          <w:szCs w:val="22"/>
          <w:lang w:val="en-GB"/>
        </w:rPr>
        <w:t>, j</w:t>
      </w:r>
      <w:r w:rsidRPr="00512BE3">
        <w:rPr>
          <w:sz w:val="22"/>
          <w:szCs w:val="22"/>
          <w:lang w:val="sr-Latn-BA"/>
        </w:rPr>
        <w:t>avni oglas</w:t>
      </w:r>
      <w:r w:rsidRPr="00512BE3">
        <w:rPr>
          <w:i/>
          <w:sz w:val="22"/>
          <w:szCs w:val="22"/>
          <w:lang w:val="en-GB"/>
        </w:rPr>
        <w:t xml:space="preserve"> </w:t>
      </w:r>
      <w:r w:rsidRPr="00512BE3">
        <w:rPr>
          <w:sz w:val="22"/>
          <w:szCs w:val="22"/>
          <w:lang w:val="en-GB"/>
        </w:rPr>
        <w:t>za prikupljanje ponuda za davanje u zakup prostora u novoizgrađenom objektu na Graničnom prelazu Svilaj</w:t>
      </w:r>
      <w:r w:rsidR="00F406C5" w:rsidRPr="00512BE3">
        <w:rPr>
          <w:sz w:val="22"/>
          <w:szCs w:val="22"/>
          <w:lang w:val="en-GB"/>
        </w:rPr>
        <w:t>,</w:t>
      </w:r>
      <w:r w:rsidRPr="00512BE3">
        <w:rPr>
          <w:sz w:val="22"/>
          <w:szCs w:val="22"/>
          <w:lang w:val="en-GB"/>
        </w:rPr>
        <w:t xml:space="preserve"> </w:t>
      </w:r>
      <w:r w:rsidR="00F406C5" w:rsidRPr="00512BE3">
        <w:rPr>
          <w:sz w:val="22"/>
          <w:szCs w:val="22"/>
          <w:lang w:val="en-GB"/>
        </w:rPr>
        <w:t>javni oglas za prikupljanje ponuda za davanje u zakup prostora za vršenje ugostiteljskih usluga - kafe kuhinje na GP Kamensko</w:t>
      </w:r>
      <w:r w:rsidRPr="00512BE3">
        <w:rPr>
          <w:sz w:val="22"/>
          <w:szCs w:val="22"/>
          <w:lang w:val="en-GB"/>
        </w:rPr>
        <w:t>.</w:t>
      </w:r>
    </w:p>
    <w:p w14:paraId="2F910F50" w14:textId="3BD2E367" w:rsidR="008F1552" w:rsidRPr="00B314FD" w:rsidRDefault="00EF4D5D" w:rsidP="008F1552">
      <w:pPr>
        <w:jc w:val="both"/>
        <w:rPr>
          <w:rFonts w:eastAsia="Calibri"/>
          <w:sz w:val="22"/>
          <w:szCs w:val="22"/>
          <w:lang w:val="bs-Latn-BA"/>
        </w:rPr>
      </w:pPr>
      <w:r w:rsidRPr="008F1552">
        <w:rPr>
          <w:rStyle w:val="normalchar"/>
          <w:sz w:val="22"/>
          <w:szCs w:val="22"/>
        </w:rPr>
        <w:t xml:space="preserve">U izvršavanju poslova održavanja i opremanja graničnih prelaza i objekata UIO u izvještajnom periodu </w:t>
      </w:r>
      <w:r w:rsidR="00E42FA8" w:rsidRPr="008F1552">
        <w:rPr>
          <w:rStyle w:val="normalchar"/>
          <w:sz w:val="22"/>
          <w:szCs w:val="22"/>
        </w:rPr>
        <w:t>preduzete su slj</w:t>
      </w:r>
      <w:r w:rsidR="007F55B6" w:rsidRPr="008F1552">
        <w:rPr>
          <w:rStyle w:val="normalchar"/>
          <w:sz w:val="22"/>
          <w:szCs w:val="22"/>
        </w:rPr>
        <w:t>e</w:t>
      </w:r>
      <w:r w:rsidR="00E42FA8" w:rsidRPr="008F1552">
        <w:rPr>
          <w:rStyle w:val="normalchar"/>
          <w:sz w:val="22"/>
          <w:szCs w:val="22"/>
        </w:rPr>
        <w:t xml:space="preserve">deće radnje: </w:t>
      </w:r>
      <w:r w:rsidR="008F1552" w:rsidRPr="008F1552">
        <w:rPr>
          <w:rFonts w:eastAsia="Calibri"/>
          <w:sz w:val="22"/>
          <w:szCs w:val="22"/>
          <w:lang w:val="bs-Latn-BA"/>
        </w:rPr>
        <w:t xml:space="preserve">završene su aktivnosti na izradi tehničke dokumentacije potrebne za izgradnju </w:t>
      </w:r>
      <w:r w:rsidR="008F1552" w:rsidRPr="00B314FD">
        <w:rPr>
          <w:rFonts w:eastAsia="Calibri"/>
          <w:sz w:val="22"/>
          <w:szCs w:val="22"/>
          <w:lang w:val="bs-Latn-BA"/>
        </w:rPr>
        <w:t xml:space="preserve">međunarodnog graničnog prelaza Doljani, i u toku su aktivnosti na prikupljanju potrebnih saglasnosti na izrađenu projektnu dokumentaciju kao uslov za pribavljanje odobrenja za građenje </w:t>
      </w:r>
      <w:r w:rsidR="008F1552">
        <w:rPr>
          <w:rFonts w:eastAsia="Calibri"/>
          <w:sz w:val="22"/>
          <w:szCs w:val="22"/>
          <w:lang w:val="bs-Latn-BA"/>
        </w:rPr>
        <w:t xml:space="preserve">ovog </w:t>
      </w:r>
      <w:r w:rsidR="008F1552" w:rsidRPr="00B314FD">
        <w:rPr>
          <w:rFonts w:eastAsia="Calibri"/>
          <w:sz w:val="22"/>
          <w:szCs w:val="22"/>
          <w:lang w:val="bs-Latn-BA"/>
        </w:rPr>
        <w:t>međunarodnog g</w:t>
      </w:r>
      <w:r w:rsidR="008F1552">
        <w:rPr>
          <w:rFonts w:eastAsia="Calibri"/>
          <w:sz w:val="22"/>
          <w:szCs w:val="22"/>
          <w:lang w:val="bs-Latn-BA"/>
        </w:rPr>
        <w:t>raničnog prelaza</w:t>
      </w:r>
      <w:r w:rsidR="008F1552" w:rsidRPr="00B314FD">
        <w:rPr>
          <w:rFonts w:eastAsia="Calibri"/>
          <w:sz w:val="22"/>
          <w:szCs w:val="22"/>
          <w:lang w:val="bs-Latn-BA"/>
        </w:rPr>
        <w:t xml:space="preserve">. U toku je izrada projekta rekonstrukcije međunarodnog graničnog prelaza Zupci, kao zajedničke lokacije BiH i Crne Gore. Takođe je sa izvođačem radova potpisan ugovor o nabavci, isporuci i montaži sistema arhivskih regala za objekat arhiva UIO u Mostaru radi stavljanja u funkciju objekta Centralnog arhiva. Provedene su aktivnosti na izvođenju radova rekonstrukcije vanjske i unutrašnje rasvjete na međunarodnom graničnom prelazu Gradina; </w:t>
      </w:r>
      <w:r w:rsidR="008F1552">
        <w:rPr>
          <w:rFonts w:eastAsia="Calibri"/>
          <w:sz w:val="22"/>
          <w:szCs w:val="22"/>
          <w:lang w:val="bs-Latn-BA"/>
        </w:rPr>
        <w:t xml:space="preserve">kao i </w:t>
      </w:r>
      <w:r w:rsidR="008F1552" w:rsidRPr="00B314FD">
        <w:rPr>
          <w:rFonts w:eastAsia="Calibri"/>
          <w:sz w:val="22"/>
          <w:szCs w:val="22"/>
          <w:lang w:val="bs-Latn-BA"/>
        </w:rPr>
        <w:t xml:space="preserve">aktivnosti neophodne za rekonstrukciju međunarodnog graničnog prelaza Brod u okviru kojih je završen elaborat idejnog koncepta međunarodnog graničnog prelaza Brod i sprovode se aktivnosti na rješavanju imovinskih odnosa. S obzirom da je prethodno raspisani tender za odabir najpovoljnijeg ponuđača za izvođenje radova na izgradnji međunarodnog graničnog prelaza Osoje poništen, u toku su pripremne aktivnosti za raspisivanje novog tendera. </w:t>
      </w:r>
      <w:r w:rsidR="008F1552">
        <w:rPr>
          <w:rFonts w:eastAsia="Calibri"/>
          <w:sz w:val="22"/>
          <w:szCs w:val="22"/>
          <w:lang w:val="bs-Latn-BA"/>
        </w:rPr>
        <w:t xml:space="preserve">Takođe su preduzimane </w:t>
      </w:r>
      <w:r w:rsidR="008F1552" w:rsidRPr="00B314FD">
        <w:rPr>
          <w:rFonts w:eastAsia="Calibri"/>
          <w:sz w:val="22"/>
          <w:szCs w:val="22"/>
          <w:lang w:val="bs-Latn-BA"/>
        </w:rPr>
        <w:t>aktivnosti na obezbjeđenju zemljišta potrebnog za izgradnju međunarodnog graničnog prelaza Čepikuće, te rješavanju imovinskih odnosa, kao i aktivnosti na rješavanju imovinskih odnosa, zemljišta, potrebnog za izgradnju objekta za smještaj zaposlenih u UIO i Graničnoj policiji na aerodromu Banja Luka</w:t>
      </w:r>
      <w:r w:rsidR="008F1552">
        <w:rPr>
          <w:rFonts w:eastAsia="Calibri"/>
          <w:sz w:val="22"/>
          <w:szCs w:val="22"/>
          <w:lang w:val="bs-Latn-BA"/>
        </w:rPr>
        <w:t xml:space="preserve">. UIO je iz okvira svoje nadležnosti učestvovala i u izradi </w:t>
      </w:r>
      <w:r w:rsidR="008F1552" w:rsidRPr="00B314FD">
        <w:rPr>
          <w:rFonts w:eastAsia="Calibri"/>
          <w:sz w:val="22"/>
          <w:szCs w:val="22"/>
          <w:lang w:val="bs-Latn-BA"/>
        </w:rPr>
        <w:t xml:space="preserve">projektne dokumentacije potrebne za izgradnju zajedničkog graničnog prelaza Rača, na trasi autoputa Beograd-Bijeljina, </w:t>
      </w:r>
      <w:r w:rsidR="008F1552">
        <w:rPr>
          <w:rFonts w:eastAsia="Calibri"/>
          <w:sz w:val="22"/>
          <w:szCs w:val="22"/>
          <w:lang w:val="bs-Latn-BA"/>
        </w:rPr>
        <w:t>n</w:t>
      </w:r>
      <w:r w:rsidR="008F1552" w:rsidRPr="00B314FD">
        <w:rPr>
          <w:rFonts w:eastAsia="Calibri"/>
          <w:sz w:val="22"/>
          <w:szCs w:val="22"/>
          <w:lang w:val="bs-Latn-BA"/>
        </w:rPr>
        <w:t>a teritoriji Republike Srbije.</w:t>
      </w:r>
    </w:p>
    <w:p w14:paraId="6B05463A" w14:textId="77777777" w:rsidR="008F1552" w:rsidRPr="00B314FD" w:rsidRDefault="008F1552" w:rsidP="008F1552">
      <w:pPr>
        <w:jc w:val="both"/>
        <w:rPr>
          <w:sz w:val="22"/>
          <w:szCs w:val="22"/>
          <w:lang w:val="sr-Latn-RS"/>
        </w:rPr>
      </w:pPr>
      <w:r w:rsidRPr="00B314FD">
        <w:rPr>
          <w:rFonts w:eastAsia="Calibri"/>
          <w:sz w:val="22"/>
          <w:szCs w:val="22"/>
          <w:lang w:val="bs-Latn-BA"/>
        </w:rPr>
        <w:t xml:space="preserve">Sve aktivnosti koje se odnose na redovna servisiranja i održavanja objekata se odvijaju uz velike probleme usljed povećanja cijena na tržištu i nedefinisanja načina rada u takvim uslovima, te isteka Okvirnih sporazuma o vršenju usluga održavanja objekata UIO. </w:t>
      </w:r>
    </w:p>
    <w:p w14:paraId="01C346B9" w14:textId="48C1B4CB" w:rsidR="007F55B6" w:rsidRPr="00512BE3" w:rsidRDefault="007F55B6" w:rsidP="008F1552">
      <w:pPr>
        <w:jc w:val="both"/>
        <w:rPr>
          <w:color w:val="FF0000"/>
          <w:sz w:val="22"/>
          <w:szCs w:val="22"/>
        </w:rPr>
      </w:pPr>
    </w:p>
    <w:p w14:paraId="3B7CD1C4" w14:textId="77777777" w:rsidR="00DC3A0C" w:rsidRPr="00512BE3" w:rsidRDefault="00DC3A0C" w:rsidP="00DC3A0C">
      <w:pPr>
        <w:pStyle w:val="Normal1"/>
        <w:spacing w:before="0" w:beforeAutospacing="0" w:after="0" w:afterAutospacing="0" w:line="240" w:lineRule="atLeast"/>
        <w:ind w:firstLine="360"/>
        <w:jc w:val="both"/>
        <w:rPr>
          <w:rFonts w:ascii="Calibri" w:hAnsi="Calibri"/>
          <w:sz w:val="22"/>
          <w:szCs w:val="22"/>
        </w:rPr>
      </w:pPr>
    </w:p>
    <w:p w14:paraId="3E882CA3" w14:textId="77777777" w:rsidR="00DC7F5D" w:rsidRPr="00512BE3" w:rsidRDefault="00DC7F5D" w:rsidP="00DC7F5D">
      <w:pPr>
        <w:pStyle w:val="Heading1"/>
        <w:spacing w:before="0" w:after="200"/>
        <w:ind w:left="431" w:hanging="431"/>
        <w:rPr>
          <w:rFonts w:eastAsia="Calibri"/>
        </w:rPr>
      </w:pPr>
      <w:bookmarkStart w:id="45" w:name="_Toc95294164"/>
      <w:r w:rsidRPr="00512BE3">
        <w:rPr>
          <w:rFonts w:eastAsia="Calibri"/>
        </w:rPr>
        <w:t>REALIZACIJA ODOBRENIH BUDŽETSKIH SREDSTAVA</w:t>
      </w:r>
      <w:bookmarkEnd w:id="45"/>
    </w:p>
    <w:p w14:paraId="0925514B" w14:textId="15EC40E8" w:rsidR="0037270C" w:rsidRPr="00512BE3" w:rsidRDefault="0037270C" w:rsidP="00AC3C93">
      <w:pPr>
        <w:jc w:val="both"/>
        <w:rPr>
          <w:sz w:val="22"/>
          <w:szCs w:val="22"/>
          <w:lang w:val="bs-Latn-BA"/>
        </w:rPr>
      </w:pPr>
      <w:r w:rsidRPr="00512BE3">
        <w:rPr>
          <w:sz w:val="22"/>
          <w:szCs w:val="22"/>
          <w:lang w:val="bs-Latn-BA"/>
        </w:rPr>
        <w:t>Finansiranje Uprave z</w:t>
      </w:r>
      <w:r w:rsidR="00F406C5" w:rsidRPr="00512BE3">
        <w:rPr>
          <w:sz w:val="22"/>
          <w:szCs w:val="22"/>
          <w:lang w:val="bs-Latn-BA"/>
        </w:rPr>
        <w:t>a indirektno oporezivanje u 2022</w:t>
      </w:r>
      <w:r w:rsidRPr="00512BE3">
        <w:rPr>
          <w:sz w:val="22"/>
          <w:szCs w:val="22"/>
          <w:lang w:val="bs-Latn-BA"/>
        </w:rPr>
        <w:t>. godini vršeno je u skladu sa:</w:t>
      </w:r>
    </w:p>
    <w:p w14:paraId="6982FD62" w14:textId="77777777" w:rsidR="00F406C5" w:rsidRPr="00512BE3" w:rsidRDefault="00F406C5" w:rsidP="00F406C5">
      <w:pPr>
        <w:numPr>
          <w:ilvl w:val="0"/>
          <w:numId w:val="26"/>
        </w:numPr>
        <w:ind w:left="786"/>
        <w:jc w:val="both"/>
        <w:rPr>
          <w:sz w:val="22"/>
          <w:lang w:val="sr-Latn-RS"/>
        </w:rPr>
      </w:pPr>
      <w:r w:rsidRPr="00512BE3">
        <w:rPr>
          <w:sz w:val="22"/>
          <w:lang w:val="sr-Latn-RS"/>
        </w:rPr>
        <w:t xml:space="preserve">Odlukom o privremenom finansiranju institucija BiH i međunarodnih obaveza BiH za period januar - mart 2022. godine  („Službeni glasnik BiH“ broj 03/22), </w:t>
      </w:r>
    </w:p>
    <w:p w14:paraId="613F8146" w14:textId="77777777" w:rsidR="00F406C5" w:rsidRPr="00512BE3" w:rsidRDefault="00F406C5" w:rsidP="00F406C5">
      <w:pPr>
        <w:numPr>
          <w:ilvl w:val="0"/>
          <w:numId w:val="26"/>
        </w:numPr>
        <w:ind w:left="786"/>
        <w:jc w:val="both"/>
        <w:rPr>
          <w:sz w:val="22"/>
          <w:lang w:val="sr-Latn-RS"/>
        </w:rPr>
      </w:pPr>
      <w:r w:rsidRPr="00512BE3">
        <w:rPr>
          <w:sz w:val="22"/>
          <w:lang w:val="sr-Latn-RS"/>
        </w:rPr>
        <w:t>Odlukom o privremenom finansiranju institucija BiH i međunarodnih obaveza BiH za period april - juni 2022. godine  („Službeni glasnik BiH“ broj 19/22).</w:t>
      </w:r>
    </w:p>
    <w:p w14:paraId="7DC9633A" w14:textId="0D4A9FE5" w:rsidR="0037270C" w:rsidRPr="00512BE3" w:rsidRDefault="0037270C" w:rsidP="00AC3C93">
      <w:pPr>
        <w:jc w:val="both"/>
        <w:rPr>
          <w:sz w:val="22"/>
          <w:szCs w:val="22"/>
          <w:lang w:val="bs-Latn-BA"/>
        </w:rPr>
      </w:pPr>
      <w:r w:rsidRPr="00512BE3">
        <w:rPr>
          <w:sz w:val="22"/>
          <w:szCs w:val="22"/>
          <w:lang w:val="bs-Latn-BA"/>
        </w:rPr>
        <w:t>Ukupno raspoloživa sredstva Uprave za indirektno oporezivanje za 202</w:t>
      </w:r>
      <w:r w:rsidR="00F406C5" w:rsidRPr="00512BE3">
        <w:rPr>
          <w:sz w:val="22"/>
          <w:szCs w:val="22"/>
          <w:lang w:val="bs-Latn-BA"/>
        </w:rPr>
        <w:t>2</w:t>
      </w:r>
      <w:r w:rsidRPr="00512BE3">
        <w:rPr>
          <w:sz w:val="22"/>
          <w:szCs w:val="22"/>
          <w:lang w:val="bs-Latn-BA"/>
        </w:rPr>
        <w:t xml:space="preserve">. godinu iznose </w:t>
      </w:r>
      <w:r w:rsidR="00F406C5" w:rsidRPr="00512BE3">
        <w:rPr>
          <w:sz w:val="22"/>
          <w:szCs w:val="22"/>
          <w:lang w:val="bs-Latn-BA"/>
        </w:rPr>
        <w:t>169.445.655,00 KM</w:t>
      </w:r>
      <w:r w:rsidRPr="00512BE3">
        <w:rPr>
          <w:sz w:val="22"/>
          <w:szCs w:val="22"/>
          <w:lang w:val="bs-Latn-BA"/>
        </w:rPr>
        <w:t>, od čega su:</w:t>
      </w:r>
    </w:p>
    <w:p w14:paraId="5BD6411E" w14:textId="77777777" w:rsidR="00F406C5" w:rsidRPr="00512BE3" w:rsidRDefault="00F406C5" w:rsidP="00F406C5">
      <w:pPr>
        <w:numPr>
          <w:ilvl w:val="0"/>
          <w:numId w:val="26"/>
        </w:numPr>
        <w:ind w:left="786"/>
        <w:jc w:val="both"/>
        <w:rPr>
          <w:sz w:val="22"/>
          <w:lang w:val="sr-Latn-RS"/>
        </w:rPr>
      </w:pPr>
      <w:r w:rsidRPr="00512BE3">
        <w:rPr>
          <w:sz w:val="22"/>
          <w:lang w:val="sr-Latn-RS"/>
        </w:rPr>
        <w:t>122.362.000,00 KM budžetska sredstva po Zakonu o Budžetu za 2022. godinu (od čega 26.000 KM od prihoda ostvarenog prodajom stalnih sredstava),</w:t>
      </w:r>
    </w:p>
    <w:p w14:paraId="458CFB82" w14:textId="77777777" w:rsidR="00F406C5" w:rsidRPr="00512BE3" w:rsidRDefault="00F406C5" w:rsidP="00F406C5">
      <w:pPr>
        <w:numPr>
          <w:ilvl w:val="0"/>
          <w:numId w:val="26"/>
        </w:numPr>
        <w:ind w:left="786"/>
        <w:jc w:val="both"/>
        <w:rPr>
          <w:sz w:val="22"/>
          <w:lang w:val="sr-Latn-RS"/>
        </w:rPr>
      </w:pPr>
      <w:r w:rsidRPr="00512BE3">
        <w:rPr>
          <w:sz w:val="22"/>
          <w:lang w:val="sr-Latn-RS"/>
        </w:rPr>
        <w:t>nerealizovana sredstva za višegodišnja kapitalna ulaganja i namjenska sredstva iz 2021. godine prenesena u 2022. godinu u iznosu od 47.009.349,82 KM i</w:t>
      </w:r>
    </w:p>
    <w:p w14:paraId="5A297148" w14:textId="394213C2" w:rsidR="00AC3C93" w:rsidRDefault="00F406C5" w:rsidP="00A66CE7">
      <w:pPr>
        <w:numPr>
          <w:ilvl w:val="0"/>
          <w:numId w:val="26"/>
        </w:numPr>
        <w:ind w:left="786"/>
        <w:jc w:val="both"/>
        <w:rPr>
          <w:sz w:val="22"/>
          <w:lang w:val="sr-Latn-RS"/>
        </w:rPr>
      </w:pPr>
      <w:r w:rsidRPr="00512BE3">
        <w:rPr>
          <w:sz w:val="22"/>
          <w:lang w:val="sr-Latn-RS"/>
        </w:rPr>
        <w:t>dodjeljena sredstva prema potpisanom Grant Sporazumu između Evropske komisije i nacionalnih poreskih i carinskih administracija korisnika Programa Carine 2021 (38.799,57 KM) i Fiskalis 2021 (35.505,61 KM) iznos od 74.305,18 KM, prenesena iz 2021. godine u 2022. godinu.</w:t>
      </w:r>
    </w:p>
    <w:p w14:paraId="36FCC3F5" w14:textId="77777777" w:rsidR="00F746D5" w:rsidRPr="00F746D5" w:rsidRDefault="00F746D5" w:rsidP="00F746D5">
      <w:pPr>
        <w:ind w:left="786"/>
        <w:jc w:val="both"/>
        <w:rPr>
          <w:sz w:val="22"/>
          <w:lang w:val="sr-Latn-RS"/>
        </w:rPr>
      </w:pPr>
    </w:p>
    <w:p w14:paraId="02EBB02D" w14:textId="77777777" w:rsidR="00A66CE7" w:rsidRPr="00512BE3" w:rsidRDefault="00A66CE7" w:rsidP="00A66CE7">
      <w:pPr>
        <w:pStyle w:val="NoSpacing"/>
        <w:jc w:val="both"/>
        <w:rPr>
          <w:rFonts w:ascii="Times New Roman" w:hAnsi="Times New Roman"/>
          <w:sz w:val="22"/>
          <w:szCs w:val="22"/>
          <w:lang w:val="sr-Latn-RS"/>
        </w:rPr>
      </w:pPr>
      <w:r w:rsidRPr="00512BE3">
        <w:rPr>
          <w:rFonts w:ascii="Times New Roman" w:hAnsi="Times New Roman"/>
          <w:sz w:val="22"/>
          <w:szCs w:val="22"/>
          <w:lang w:val="sr-Latn-RS"/>
        </w:rPr>
        <w:t>Odlukama Vijeća ministara Bosne i Hercegovine odobreni su višegodišnji kapitalni projekti, za čiju realizaciju je, pored Ministarstva finansija i trezora BiH, zadužena Uprava za indirektno oporezivanje:</w:t>
      </w:r>
    </w:p>
    <w:p w14:paraId="0CCDF3BF"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nabavke i izgradnje objekata za regionalne centre i Središnji ured UIO BiH i izgradnje i rekonstrukcije graničnih prijelaza  ("Službeni glasnik BiH", broj 20/15, 5/17, 84/19, 16/20 i 38/21),</w:t>
      </w:r>
    </w:p>
    <w:p w14:paraId="540C9DE8"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izrade nove poreske aplikacije u Informacionom sistemu UIO BiH  ("Službeni glasnik BiH", broj 17/15),</w:t>
      </w:r>
    </w:p>
    <w:p w14:paraId="0312BDFA"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implementacija NCTS- New Computerised Transit System- u Bosni i Hercegovini ("Službeni glasnik BiH", broj 90/13),</w:t>
      </w:r>
    </w:p>
    <w:p w14:paraId="010EDA7E"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lastRenderedPageBreak/>
        <w:t>izgradnje i opremanja novih i rekonstrukcija postojećih objekata na GP Vardište i u zračnim lukama Mostar i Tuzla za potrebe smještaja zaposlenih u jedinicama Granične policije, carinskim ispostavama UIO i zaposlenih u inspekcijskim službama ("Službeni glasnik BiH", broj 101/15 i 86/19),</w:t>
      </w:r>
    </w:p>
    <w:p w14:paraId="31E0CFDF"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izgradnje graničnog prijelaza Bratunac-Ljubovija ("Službeni glasnik BiH", broj 05/17 i 7/20),</w:t>
      </w:r>
    </w:p>
    <w:p w14:paraId="18935C0D"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implementacije rezervne lokacije za carinski i poreski podsistem informacionog sistema ("Službeni glasnik BiH", broj 06/18),</w:t>
      </w:r>
    </w:p>
    <w:p w14:paraId="683F0E56"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izgradnje i opremanje objekta arhiva u Mostaru ("Službeni glasnik BiH", broj 86/18 i 84/19),</w:t>
      </w:r>
    </w:p>
    <w:p w14:paraId="5615F6DC"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izgradnja i opremanje GP Doljani ("Službeni glasnik BiH", broj 05/21 i 63/21),</w:t>
      </w:r>
    </w:p>
    <w:p w14:paraId="23AC3096"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izgradnja i opremanje GP Osoje ("Službeni glasnik BiH", broj 05/21 i 63/21) i</w:t>
      </w:r>
    </w:p>
    <w:p w14:paraId="1FD0BC17" w14:textId="77777777" w:rsidR="00523291" w:rsidRPr="00512BE3" w:rsidRDefault="00523291" w:rsidP="00523291">
      <w:pPr>
        <w:numPr>
          <w:ilvl w:val="0"/>
          <w:numId w:val="16"/>
        </w:numPr>
        <w:jc w:val="both"/>
        <w:rPr>
          <w:rFonts w:eastAsia="Calibri"/>
          <w:sz w:val="22"/>
          <w:szCs w:val="22"/>
          <w:lang w:val="sr-Latn-RS" w:eastAsia="en-GB"/>
        </w:rPr>
      </w:pPr>
      <w:r w:rsidRPr="00512BE3">
        <w:rPr>
          <w:rFonts w:eastAsia="Calibri"/>
          <w:sz w:val="22"/>
          <w:szCs w:val="22"/>
          <w:lang w:val="sr-Latn-RS" w:eastAsia="en-GB"/>
        </w:rPr>
        <w:t>izgradnja i opremanje objekta za smještaj zaposlenih UIO i Granične policije na aerodromu u Banjа Luci ("Službeni glasnik BiH", broj 6/21).</w:t>
      </w:r>
    </w:p>
    <w:p w14:paraId="13CEBAA7" w14:textId="77777777" w:rsidR="00AC3C93" w:rsidRPr="00512BE3" w:rsidRDefault="00AC3C93" w:rsidP="00AC3C93">
      <w:pPr>
        <w:jc w:val="both"/>
        <w:rPr>
          <w:rFonts w:eastAsia="Calibri"/>
          <w:sz w:val="22"/>
          <w:szCs w:val="22"/>
          <w:lang w:val="sr-Latn-RS" w:eastAsia="en-GB"/>
        </w:rPr>
      </w:pPr>
    </w:p>
    <w:p w14:paraId="6AAE6B98"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Ukupna vrijednosti odobrenih višegodišnjih kapitalnih projekata je 185.282.421 KM, od čega za:</w:t>
      </w:r>
    </w:p>
    <w:p w14:paraId="4062A213" w14:textId="77777777" w:rsidR="00523291" w:rsidRPr="00512BE3" w:rsidRDefault="00523291" w:rsidP="00523291">
      <w:pPr>
        <w:pStyle w:val="NoSpacing"/>
        <w:numPr>
          <w:ilvl w:val="0"/>
          <w:numId w:val="8"/>
        </w:numPr>
        <w:rPr>
          <w:rFonts w:ascii="Times New Roman" w:hAnsi="Times New Roman"/>
          <w:sz w:val="22"/>
          <w:szCs w:val="22"/>
          <w:lang w:val="sr-Latn-RS"/>
        </w:rPr>
      </w:pPr>
      <w:r w:rsidRPr="00512BE3">
        <w:rPr>
          <w:rFonts w:ascii="Times New Roman" w:hAnsi="Times New Roman"/>
          <w:sz w:val="22"/>
          <w:szCs w:val="22"/>
          <w:lang w:val="sr-Latn-RS"/>
        </w:rPr>
        <w:t xml:space="preserve"> izgradnju objekata i graničnih prijelaza 157.892.421 KM i </w:t>
      </w:r>
    </w:p>
    <w:p w14:paraId="0261624F" w14:textId="77777777" w:rsidR="003E594A" w:rsidRDefault="00523291" w:rsidP="003E594A">
      <w:pPr>
        <w:pStyle w:val="NoSpacing"/>
        <w:numPr>
          <w:ilvl w:val="0"/>
          <w:numId w:val="8"/>
        </w:numPr>
        <w:rPr>
          <w:rFonts w:ascii="Times New Roman" w:hAnsi="Times New Roman"/>
          <w:sz w:val="22"/>
          <w:szCs w:val="22"/>
          <w:lang w:val="sr-Latn-RS"/>
        </w:rPr>
      </w:pPr>
      <w:r w:rsidRPr="00512BE3">
        <w:rPr>
          <w:rFonts w:ascii="Times New Roman" w:hAnsi="Times New Roman"/>
          <w:sz w:val="22"/>
          <w:szCs w:val="22"/>
          <w:lang w:val="sr-Latn-RS"/>
        </w:rPr>
        <w:t xml:space="preserve"> informacione tehnologije 27.390.000 KM,</w:t>
      </w:r>
    </w:p>
    <w:p w14:paraId="02C6F604" w14:textId="6D0F634D" w:rsidR="00523291" w:rsidRPr="003E594A" w:rsidRDefault="00523291" w:rsidP="003E594A">
      <w:pPr>
        <w:pStyle w:val="NoSpacing"/>
        <w:rPr>
          <w:rFonts w:ascii="Times New Roman" w:hAnsi="Times New Roman"/>
          <w:sz w:val="22"/>
          <w:szCs w:val="22"/>
          <w:lang w:val="sr-Latn-RS"/>
        </w:rPr>
      </w:pPr>
      <w:r w:rsidRPr="003E594A">
        <w:rPr>
          <w:rFonts w:ascii="Times New Roman" w:hAnsi="Times New Roman"/>
          <w:sz w:val="22"/>
          <w:szCs w:val="22"/>
          <w:lang w:val="sr-Latn-RS"/>
        </w:rPr>
        <w:t>i finansiraju se iz sredstava:</w:t>
      </w:r>
    </w:p>
    <w:p w14:paraId="25D8AFF3" w14:textId="77777777" w:rsidR="00523291" w:rsidRPr="00512BE3" w:rsidRDefault="00523291" w:rsidP="00523291">
      <w:pPr>
        <w:pStyle w:val="NoSpacing"/>
        <w:numPr>
          <w:ilvl w:val="0"/>
          <w:numId w:val="27"/>
        </w:numPr>
        <w:rPr>
          <w:rFonts w:ascii="Times New Roman" w:hAnsi="Times New Roman"/>
          <w:sz w:val="22"/>
          <w:szCs w:val="22"/>
          <w:lang w:val="sr-Latn-RS"/>
        </w:rPr>
      </w:pPr>
      <w:r w:rsidRPr="00512BE3">
        <w:rPr>
          <w:rFonts w:ascii="Times New Roman" w:hAnsi="Times New Roman"/>
          <w:sz w:val="22"/>
          <w:szCs w:val="22"/>
          <w:lang w:val="sr-Latn-RS"/>
        </w:rPr>
        <w:t xml:space="preserve">Budžeta institucija Bosne i Hercegovine i međunarodnih obaveza Bosne i Hercegovine u iznosu od 159.497.923,00 KM, </w:t>
      </w:r>
    </w:p>
    <w:p w14:paraId="04E2D579" w14:textId="77777777" w:rsidR="00523291" w:rsidRPr="00512BE3" w:rsidRDefault="00523291" w:rsidP="00523291">
      <w:pPr>
        <w:pStyle w:val="NoSpacing"/>
        <w:numPr>
          <w:ilvl w:val="0"/>
          <w:numId w:val="27"/>
        </w:numPr>
        <w:rPr>
          <w:rFonts w:ascii="Times New Roman" w:hAnsi="Times New Roman"/>
          <w:sz w:val="22"/>
          <w:szCs w:val="22"/>
          <w:lang w:val="sr-Latn-RS"/>
        </w:rPr>
      </w:pPr>
      <w:r w:rsidRPr="00512BE3">
        <w:rPr>
          <w:rFonts w:ascii="Times New Roman" w:hAnsi="Times New Roman"/>
          <w:sz w:val="22"/>
          <w:szCs w:val="22"/>
          <w:lang w:val="sr-Latn-RS"/>
        </w:rPr>
        <w:t>Uplaćenih sredstava na ime dodijeljene dozvole za Univerzalne mobilne telekomunikacione sisteme u iznosu od 11.343.814,00 KM,</w:t>
      </w:r>
    </w:p>
    <w:p w14:paraId="0D24456C" w14:textId="77777777" w:rsidR="00523291" w:rsidRPr="00512BE3" w:rsidRDefault="00523291" w:rsidP="00523291">
      <w:pPr>
        <w:pStyle w:val="NoSpacing"/>
        <w:numPr>
          <w:ilvl w:val="0"/>
          <w:numId w:val="27"/>
        </w:numPr>
        <w:rPr>
          <w:rFonts w:ascii="Times New Roman" w:hAnsi="Times New Roman"/>
          <w:sz w:val="22"/>
          <w:szCs w:val="22"/>
          <w:lang w:val="sr-Latn-RS"/>
        </w:rPr>
      </w:pPr>
      <w:r w:rsidRPr="00512BE3">
        <w:rPr>
          <w:rFonts w:ascii="Times New Roman" w:hAnsi="Times New Roman"/>
          <w:sz w:val="22"/>
          <w:szCs w:val="22"/>
          <w:lang w:val="sr-Latn-RS"/>
        </w:rPr>
        <w:t xml:space="preserve">klirinškog duga Ruske Federacije u iznosu od 11.050.684,00 KM i </w:t>
      </w:r>
    </w:p>
    <w:p w14:paraId="4387F822" w14:textId="77777777" w:rsidR="00523291" w:rsidRPr="00512BE3" w:rsidRDefault="00523291" w:rsidP="00523291">
      <w:pPr>
        <w:pStyle w:val="NoSpacing"/>
        <w:numPr>
          <w:ilvl w:val="0"/>
          <w:numId w:val="27"/>
        </w:numPr>
        <w:rPr>
          <w:rFonts w:ascii="Times New Roman" w:hAnsi="Times New Roman"/>
          <w:sz w:val="22"/>
          <w:szCs w:val="22"/>
          <w:lang w:val="sr-Latn-RS"/>
        </w:rPr>
      </w:pPr>
      <w:r w:rsidRPr="00512BE3">
        <w:rPr>
          <w:rFonts w:ascii="Times New Roman" w:hAnsi="Times New Roman"/>
          <w:sz w:val="22"/>
          <w:szCs w:val="22"/>
          <w:lang w:val="sr-Latn-RS"/>
        </w:rPr>
        <w:t>pretpristupnih fondova u iznosu od 3.390.000,00 KM.</w:t>
      </w:r>
    </w:p>
    <w:p w14:paraId="68D0AFF7" w14:textId="77777777" w:rsidR="00523291" w:rsidRPr="00512BE3" w:rsidRDefault="00523291" w:rsidP="00523291">
      <w:pPr>
        <w:jc w:val="both"/>
        <w:rPr>
          <w:sz w:val="22"/>
          <w:lang w:val="sr-Latn-RS"/>
        </w:rPr>
      </w:pPr>
      <w:r w:rsidRPr="00512BE3">
        <w:rPr>
          <w:sz w:val="22"/>
          <w:lang w:val="sr-Latn-RS"/>
        </w:rPr>
        <w:t>Od ukupne vrijednosti odobrenih višegodišnjih kapitalnih projekata u 2022. godini za kapitalne projekte UIO imala je raspoloživa sredstva u iznosu od 53.951.515,82 KM, kojeg čine:</w:t>
      </w:r>
    </w:p>
    <w:p w14:paraId="28FB7F8F" w14:textId="77777777" w:rsidR="00523291" w:rsidRPr="00512BE3" w:rsidRDefault="00523291" w:rsidP="00523291">
      <w:pPr>
        <w:numPr>
          <w:ilvl w:val="0"/>
          <w:numId w:val="28"/>
        </w:numPr>
        <w:jc w:val="both"/>
        <w:rPr>
          <w:sz w:val="22"/>
          <w:lang w:val="sr-Latn-RS"/>
        </w:rPr>
      </w:pPr>
      <w:r w:rsidRPr="00512BE3">
        <w:rPr>
          <w:sz w:val="22"/>
          <w:lang w:val="sr-Latn-RS"/>
        </w:rPr>
        <w:t>nerealizovana sredstva za višegodišnja kapitalna ulaganja i namjenska sredstva iz 2021. godine prenesena u 2022. godinu u iznosu od 47.009.349,82 KM i</w:t>
      </w:r>
    </w:p>
    <w:p w14:paraId="535956B5" w14:textId="77777777" w:rsidR="00523291" w:rsidRPr="00512BE3" w:rsidRDefault="00523291" w:rsidP="00523291">
      <w:pPr>
        <w:numPr>
          <w:ilvl w:val="0"/>
          <w:numId w:val="28"/>
        </w:numPr>
        <w:jc w:val="both"/>
        <w:rPr>
          <w:sz w:val="22"/>
          <w:lang w:val="sr-Latn-RS"/>
        </w:rPr>
      </w:pPr>
      <w:r w:rsidRPr="00512BE3">
        <w:rPr>
          <w:bCs/>
          <w:sz w:val="22"/>
          <w:lang w:val="sr-Latn-RS"/>
        </w:rPr>
        <w:t xml:space="preserve">sredstva odobrena budžetom za 2022. godinu 6.949.316,00 KM ( 3.000.000 KM za izgradnju aerodroma u Banja Luci,  </w:t>
      </w:r>
      <w:r w:rsidRPr="00512BE3">
        <w:rPr>
          <w:sz w:val="22"/>
          <w:lang w:val="sr-Latn-RS"/>
        </w:rPr>
        <w:t>3.949.316,00 KM sredstva za izgradnju GP Svilaj).</w:t>
      </w:r>
    </w:p>
    <w:p w14:paraId="04C074E1" w14:textId="0FFF60E2" w:rsidR="0023364C" w:rsidRPr="00512BE3" w:rsidRDefault="0023364C" w:rsidP="0023364C">
      <w:pPr>
        <w:pStyle w:val="NoSpacing"/>
        <w:jc w:val="both"/>
        <w:rPr>
          <w:rFonts w:ascii="Times New Roman" w:hAnsi="Times New Roman"/>
          <w:sz w:val="22"/>
          <w:szCs w:val="22"/>
          <w:lang w:val="sr-Latn-RS"/>
        </w:rPr>
      </w:pPr>
    </w:p>
    <w:p w14:paraId="619BDE5F"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Postupajući po Zakonu o finansiranju institucija Bosne i Hercegovine („Službeni glasnik BiH“, broj 61/04, 49/09, 42/12, 87/12, 32/13 i 38/22) nerealizovana sredstva za višegodišnja kapitalna ulaganja i namjenska sredstva iz 2021. godine prenesena su u 2022. godinu u ukupnom iznosu od 47.009.349,82 KM, po projektima kako slijedi: </w:t>
      </w:r>
    </w:p>
    <w:tbl>
      <w:tblPr>
        <w:tblW w:w="9333" w:type="dxa"/>
        <w:tblLook w:val="04A0" w:firstRow="1" w:lastRow="0" w:firstColumn="1" w:lastColumn="0" w:noHBand="0" w:noVBand="1"/>
      </w:tblPr>
      <w:tblGrid>
        <w:gridCol w:w="503"/>
        <w:gridCol w:w="6189"/>
        <w:gridCol w:w="1811"/>
        <w:gridCol w:w="830"/>
      </w:tblGrid>
      <w:tr w:rsidR="00523291" w:rsidRPr="00512BE3" w14:paraId="32828B7B" w14:textId="77777777" w:rsidTr="00523291">
        <w:trPr>
          <w:trHeight w:val="288"/>
        </w:trPr>
        <w:tc>
          <w:tcPr>
            <w:tcW w:w="503" w:type="dxa"/>
            <w:tcBorders>
              <w:top w:val="nil"/>
              <w:left w:val="nil"/>
              <w:bottom w:val="nil"/>
              <w:right w:val="nil"/>
            </w:tcBorders>
            <w:shd w:val="clear" w:color="auto" w:fill="auto"/>
            <w:vAlign w:val="center"/>
            <w:hideMark/>
          </w:tcPr>
          <w:p w14:paraId="33AEC1E6"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w:t>
            </w:r>
          </w:p>
        </w:tc>
        <w:tc>
          <w:tcPr>
            <w:tcW w:w="6189" w:type="dxa"/>
            <w:tcBorders>
              <w:top w:val="nil"/>
              <w:left w:val="nil"/>
              <w:bottom w:val="nil"/>
              <w:right w:val="nil"/>
            </w:tcBorders>
            <w:shd w:val="clear" w:color="auto" w:fill="auto"/>
            <w:vAlign w:val="center"/>
            <w:hideMark/>
          </w:tcPr>
          <w:p w14:paraId="525150CC"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Priprema i izgradnja GP Bijača</w:t>
            </w:r>
          </w:p>
        </w:tc>
        <w:tc>
          <w:tcPr>
            <w:tcW w:w="1811" w:type="dxa"/>
            <w:tcBorders>
              <w:top w:val="nil"/>
              <w:left w:val="nil"/>
              <w:bottom w:val="nil"/>
              <w:right w:val="nil"/>
            </w:tcBorders>
            <w:shd w:val="clear" w:color="auto" w:fill="auto"/>
            <w:vAlign w:val="center"/>
            <w:hideMark/>
          </w:tcPr>
          <w:p w14:paraId="14957D73"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2.453,57</w:t>
            </w:r>
          </w:p>
        </w:tc>
        <w:tc>
          <w:tcPr>
            <w:tcW w:w="830" w:type="dxa"/>
            <w:tcBorders>
              <w:top w:val="nil"/>
              <w:left w:val="nil"/>
              <w:bottom w:val="nil"/>
              <w:right w:val="nil"/>
            </w:tcBorders>
            <w:shd w:val="clear" w:color="auto" w:fill="auto"/>
            <w:vAlign w:val="center"/>
            <w:hideMark/>
          </w:tcPr>
          <w:p w14:paraId="45FA685D"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6D2CD7CD" w14:textId="77777777" w:rsidTr="00523291">
        <w:trPr>
          <w:trHeight w:val="288"/>
        </w:trPr>
        <w:tc>
          <w:tcPr>
            <w:tcW w:w="503" w:type="dxa"/>
            <w:tcBorders>
              <w:top w:val="nil"/>
              <w:left w:val="nil"/>
              <w:bottom w:val="nil"/>
              <w:right w:val="nil"/>
            </w:tcBorders>
            <w:shd w:val="clear" w:color="auto" w:fill="auto"/>
            <w:vAlign w:val="center"/>
            <w:hideMark/>
          </w:tcPr>
          <w:p w14:paraId="552DC367"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2.</w:t>
            </w:r>
          </w:p>
        </w:tc>
        <w:tc>
          <w:tcPr>
            <w:tcW w:w="6189" w:type="dxa"/>
            <w:tcBorders>
              <w:top w:val="nil"/>
              <w:left w:val="nil"/>
              <w:bottom w:val="nil"/>
              <w:right w:val="nil"/>
            </w:tcBorders>
            <w:shd w:val="clear" w:color="auto" w:fill="auto"/>
            <w:vAlign w:val="center"/>
            <w:hideMark/>
          </w:tcPr>
          <w:p w14:paraId="57AE1877"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Implementacija NCTS-a</w:t>
            </w:r>
          </w:p>
        </w:tc>
        <w:tc>
          <w:tcPr>
            <w:tcW w:w="1811" w:type="dxa"/>
            <w:tcBorders>
              <w:top w:val="nil"/>
              <w:left w:val="nil"/>
              <w:bottom w:val="nil"/>
              <w:right w:val="nil"/>
            </w:tcBorders>
            <w:shd w:val="clear" w:color="auto" w:fill="auto"/>
            <w:vAlign w:val="center"/>
            <w:hideMark/>
          </w:tcPr>
          <w:p w14:paraId="4CED6319"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15.427,99</w:t>
            </w:r>
          </w:p>
        </w:tc>
        <w:tc>
          <w:tcPr>
            <w:tcW w:w="830" w:type="dxa"/>
            <w:tcBorders>
              <w:top w:val="nil"/>
              <w:left w:val="nil"/>
              <w:bottom w:val="nil"/>
              <w:right w:val="nil"/>
            </w:tcBorders>
            <w:shd w:val="clear" w:color="auto" w:fill="auto"/>
            <w:vAlign w:val="center"/>
            <w:hideMark/>
          </w:tcPr>
          <w:p w14:paraId="49FF9611"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3E8C1D0D" w14:textId="77777777" w:rsidTr="00523291">
        <w:trPr>
          <w:trHeight w:val="462"/>
        </w:trPr>
        <w:tc>
          <w:tcPr>
            <w:tcW w:w="503" w:type="dxa"/>
            <w:tcBorders>
              <w:top w:val="nil"/>
              <w:left w:val="nil"/>
              <w:bottom w:val="nil"/>
              <w:right w:val="nil"/>
            </w:tcBorders>
            <w:shd w:val="clear" w:color="auto" w:fill="auto"/>
            <w:hideMark/>
          </w:tcPr>
          <w:p w14:paraId="6C5FB434"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3.</w:t>
            </w:r>
          </w:p>
        </w:tc>
        <w:tc>
          <w:tcPr>
            <w:tcW w:w="6189" w:type="dxa"/>
            <w:tcBorders>
              <w:top w:val="nil"/>
              <w:left w:val="nil"/>
              <w:bottom w:val="nil"/>
              <w:right w:val="nil"/>
            </w:tcBorders>
            <w:shd w:val="clear" w:color="auto" w:fill="auto"/>
            <w:hideMark/>
          </w:tcPr>
          <w:p w14:paraId="2E911BEA"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Rekonstrukcija i izgradnja graničnih prijelaza Vardište, Uvac, Gorica, Ivanica, Deleuša, Užljebić i ostali</w:t>
            </w:r>
          </w:p>
        </w:tc>
        <w:tc>
          <w:tcPr>
            <w:tcW w:w="1811" w:type="dxa"/>
            <w:tcBorders>
              <w:top w:val="nil"/>
              <w:left w:val="nil"/>
              <w:bottom w:val="nil"/>
              <w:right w:val="nil"/>
            </w:tcBorders>
            <w:shd w:val="clear" w:color="auto" w:fill="auto"/>
            <w:vAlign w:val="center"/>
            <w:hideMark/>
          </w:tcPr>
          <w:p w14:paraId="0FE89E94"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96.817,41</w:t>
            </w:r>
          </w:p>
        </w:tc>
        <w:tc>
          <w:tcPr>
            <w:tcW w:w="830" w:type="dxa"/>
            <w:tcBorders>
              <w:top w:val="nil"/>
              <w:left w:val="nil"/>
              <w:bottom w:val="nil"/>
              <w:right w:val="nil"/>
            </w:tcBorders>
            <w:shd w:val="clear" w:color="auto" w:fill="auto"/>
            <w:vAlign w:val="center"/>
            <w:hideMark/>
          </w:tcPr>
          <w:p w14:paraId="6A183A94"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6C978345" w14:textId="77777777" w:rsidTr="00523291">
        <w:trPr>
          <w:trHeight w:val="288"/>
        </w:trPr>
        <w:tc>
          <w:tcPr>
            <w:tcW w:w="503" w:type="dxa"/>
            <w:tcBorders>
              <w:top w:val="nil"/>
              <w:left w:val="nil"/>
              <w:bottom w:val="nil"/>
              <w:right w:val="nil"/>
            </w:tcBorders>
            <w:shd w:val="clear" w:color="auto" w:fill="auto"/>
            <w:vAlign w:val="center"/>
            <w:hideMark/>
          </w:tcPr>
          <w:p w14:paraId="20435B0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4.</w:t>
            </w:r>
          </w:p>
        </w:tc>
        <w:tc>
          <w:tcPr>
            <w:tcW w:w="6189" w:type="dxa"/>
            <w:tcBorders>
              <w:top w:val="nil"/>
              <w:left w:val="nil"/>
              <w:bottom w:val="nil"/>
              <w:right w:val="nil"/>
            </w:tcBorders>
            <w:shd w:val="clear" w:color="auto" w:fill="auto"/>
            <w:vAlign w:val="center"/>
            <w:hideMark/>
          </w:tcPr>
          <w:p w14:paraId="53081D8B"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Izgradnja objekta za Regionalni centar Mostar </w:t>
            </w:r>
          </w:p>
        </w:tc>
        <w:tc>
          <w:tcPr>
            <w:tcW w:w="1811" w:type="dxa"/>
            <w:tcBorders>
              <w:top w:val="nil"/>
              <w:left w:val="nil"/>
              <w:bottom w:val="nil"/>
              <w:right w:val="nil"/>
            </w:tcBorders>
            <w:shd w:val="clear" w:color="auto" w:fill="auto"/>
            <w:vAlign w:val="center"/>
            <w:hideMark/>
          </w:tcPr>
          <w:p w14:paraId="79623CF4"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3.754,56</w:t>
            </w:r>
          </w:p>
        </w:tc>
        <w:tc>
          <w:tcPr>
            <w:tcW w:w="830" w:type="dxa"/>
            <w:tcBorders>
              <w:top w:val="nil"/>
              <w:left w:val="nil"/>
              <w:bottom w:val="nil"/>
              <w:right w:val="nil"/>
            </w:tcBorders>
            <w:shd w:val="clear" w:color="auto" w:fill="auto"/>
            <w:vAlign w:val="center"/>
            <w:hideMark/>
          </w:tcPr>
          <w:p w14:paraId="48C94637"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55102D99" w14:textId="77777777" w:rsidTr="00523291">
        <w:trPr>
          <w:trHeight w:val="288"/>
        </w:trPr>
        <w:tc>
          <w:tcPr>
            <w:tcW w:w="503" w:type="dxa"/>
            <w:tcBorders>
              <w:top w:val="nil"/>
              <w:left w:val="nil"/>
              <w:bottom w:val="nil"/>
              <w:right w:val="nil"/>
            </w:tcBorders>
            <w:shd w:val="clear" w:color="auto" w:fill="auto"/>
            <w:vAlign w:val="center"/>
            <w:hideMark/>
          </w:tcPr>
          <w:p w14:paraId="0B93DF5D"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5.</w:t>
            </w:r>
          </w:p>
        </w:tc>
        <w:tc>
          <w:tcPr>
            <w:tcW w:w="6189" w:type="dxa"/>
            <w:tcBorders>
              <w:top w:val="nil"/>
              <w:left w:val="nil"/>
              <w:bottom w:val="nil"/>
              <w:right w:val="nil"/>
            </w:tcBorders>
            <w:shd w:val="clear" w:color="auto" w:fill="auto"/>
            <w:vAlign w:val="center"/>
            <w:hideMark/>
          </w:tcPr>
          <w:p w14:paraId="42EC987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Izgradnja objekta za Regionalni centar Tuzla </w:t>
            </w:r>
          </w:p>
        </w:tc>
        <w:tc>
          <w:tcPr>
            <w:tcW w:w="1811" w:type="dxa"/>
            <w:tcBorders>
              <w:top w:val="nil"/>
              <w:left w:val="nil"/>
              <w:bottom w:val="nil"/>
              <w:right w:val="nil"/>
            </w:tcBorders>
            <w:shd w:val="clear" w:color="auto" w:fill="auto"/>
            <w:vAlign w:val="center"/>
            <w:hideMark/>
          </w:tcPr>
          <w:p w14:paraId="09A241D0"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60.664,03</w:t>
            </w:r>
          </w:p>
        </w:tc>
        <w:tc>
          <w:tcPr>
            <w:tcW w:w="830" w:type="dxa"/>
            <w:tcBorders>
              <w:top w:val="nil"/>
              <w:left w:val="nil"/>
              <w:bottom w:val="nil"/>
              <w:right w:val="nil"/>
            </w:tcBorders>
            <w:shd w:val="clear" w:color="auto" w:fill="auto"/>
            <w:vAlign w:val="center"/>
            <w:hideMark/>
          </w:tcPr>
          <w:p w14:paraId="30C3729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18ADB1C3" w14:textId="77777777" w:rsidTr="00523291">
        <w:trPr>
          <w:trHeight w:val="288"/>
        </w:trPr>
        <w:tc>
          <w:tcPr>
            <w:tcW w:w="503" w:type="dxa"/>
            <w:tcBorders>
              <w:top w:val="nil"/>
              <w:left w:val="nil"/>
              <w:bottom w:val="nil"/>
              <w:right w:val="nil"/>
            </w:tcBorders>
            <w:shd w:val="clear" w:color="auto" w:fill="auto"/>
            <w:vAlign w:val="center"/>
            <w:hideMark/>
          </w:tcPr>
          <w:p w14:paraId="68B23480"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6.</w:t>
            </w:r>
          </w:p>
        </w:tc>
        <w:tc>
          <w:tcPr>
            <w:tcW w:w="6189" w:type="dxa"/>
            <w:tcBorders>
              <w:top w:val="nil"/>
              <w:left w:val="nil"/>
              <w:bottom w:val="nil"/>
              <w:right w:val="nil"/>
            </w:tcBorders>
            <w:shd w:val="clear" w:color="auto" w:fill="auto"/>
            <w:vAlign w:val="center"/>
            <w:hideMark/>
          </w:tcPr>
          <w:p w14:paraId="1794FE40"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Nabavka i opremanje objekta za Regionalni centar Sarajevo </w:t>
            </w:r>
          </w:p>
        </w:tc>
        <w:tc>
          <w:tcPr>
            <w:tcW w:w="1811" w:type="dxa"/>
            <w:tcBorders>
              <w:top w:val="nil"/>
              <w:left w:val="nil"/>
              <w:bottom w:val="nil"/>
              <w:right w:val="nil"/>
            </w:tcBorders>
            <w:shd w:val="clear" w:color="auto" w:fill="auto"/>
            <w:vAlign w:val="center"/>
            <w:hideMark/>
          </w:tcPr>
          <w:p w14:paraId="49EA985E"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1.134,41</w:t>
            </w:r>
          </w:p>
        </w:tc>
        <w:tc>
          <w:tcPr>
            <w:tcW w:w="830" w:type="dxa"/>
            <w:tcBorders>
              <w:top w:val="nil"/>
              <w:left w:val="nil"/>
              <w:bottom w:val="nil"/>
              <w:right w:val="nil"/>
            </w:tcBorders>
            <w:shd w:val="clear" w:color="auto" w:fill="auto"/>
            <w:vAlign w:val="center"/>
            <w:hideMark/>
          </w:tcPr>
          <w:p w14:paraId="47E4340D"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5C1658E5" w14:textId="77777777" w:rsidTr="00523291">
        <w:trPr>
          <w:trHeight w:val="288"/>
        </w:trPr>
        <w:tc>
          <w:tcPr>
            <w:tcW w:w="503" w:type="dxa"/>
            <w:tcBorders>
              <w:top w:val="nil"/>
              <w:left w:val="nil"/>
              <w:bottom w:val="nil"/>
              <w:right w:val="nil"/>
            </w:tcBorders>
            <w:shd w:val="clear" w:color="auto" w:fill="auto"/>
            <w:vAlign w:val="center"/>
            <w:hideMark/>
          </w:tcPr>
          <w:p w14:paraId="5A8953EA"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7.</w:t>
            </w:r>
          </w:p>
        </w:tc>
        <w:tc>
          <w:tcPr>
            <w:tcW w:w="6189" w:type="dxa"/>
            <w:tcBorders>
              <w:top w:val="nil"/>
              <w:left w:val="nil"/>
              <w:bottom w:val="nil"/>
              <w:right w:val="nil"/>
            </w:tcBorders>
            <w:shd w:val="clear" w:color="auto" w:fill="auto"/>
            <w:vAlign w:val="center"/>
            <w:hideMark/>
          </w:tcPr>
          <w:p w14:paraId="61651C2F"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Izgradnja i opremanje graničnog prijelaza Gradiška</w:t>
            </w:r>
          </w:p>
        </w:tc>
        <w:tc>
          <w:tcPr>
            <w:tcW w:w="1811" w:type="dxa"/>
            <w:tcBorders>
              <w:top w:val="nil"/>
              <w:left w:val="nil"/>
              <w:bottom w:val="nil"/>
              <w:right w:val="nil"/>
            </w:tcBorders>
            <w:shd w:val="clear" w:color="auto" w:fill="auto"/>
            <w:vAlign w:val="center"/>
            <w:hideMark/>
          </w:tcPr>
          <w:p w14:paraId="7EF731A7"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181.110,24</w:t>
            </w:r>
          </w:p>
        </w:tc>
        <w:tc>
          <w:tcPr>
            <w:tcW w:w="830" w:type="dxa"/>
            <w:tcBorders>
              <w:top w:val="nil"/>
              <w:left w:val="nil"/>
              <w:bottom w:val="nil"/>
              <w:right w:val="nil"/>
            </w:tcBorders>
            <w:shd w:val="clear" w:color="auto" w:fill="auto"/>
            <w:vAlign w:val="center"/>
            <w:hideMark/>
          </w:tcPr>
          <w:p w14:paraId="6C38DA2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6238F024" w14:textId="77777777" w:rsidTr="00523291">
        <w:trPr>
          <w:trHeight w:val="288"/>
        </w:trPr>
        <w:tc>
          <w:tcPr>
            <w:tcW w:w="503" w:type="dxa"/>
            <w:tcBorders>
              <w:top w:val="nil"/>
              <w:left w:val="nil"/>
              <w:bottom w:val="nil"/>
              <w:right w:val="nil"/>
            </w:tcBorders>
            <w:shd w:val="clear" w:color="auto" w:fill="auto"/>
            <w:vAlign w:val="center"/>
            <w:hideMark/>
          </w:tcPr>
          <w:p w14:paraId="605D28B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8.</w:t>
            </w:r>
          </w:p>
        </w:tc>
        <w:tc>
          <w:tcPr>
            <w:tcW w:w="6189" w:type="dxa"/>
            <w:tcBorders>
              <w:top w:val="nil"/>
              <w:left w:val="nil"/>
              <w:bottom w:val="nil"/>
              <w:right w:val="nil"/>
            </w:tcBorders>
            <w:shd w:val="clear" w:color="auto" w:fill="auto"/>
            <w:vAlign w:val="center"/>
            <w:hideMark/>
          </w:tcPr>
          <w:p w14:paraId="70F031BF"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Izgradnja graničnih prijelaza Bijača i Svilaj</w:t>
            </w:r>
          </w:p>
        </w:tc>
        <w:tc>
          <w:tcPr>
            <w:tcW w:w="1811" w:type="dxa"/>
            <w:tcBorders>
              <w:top w:val="nil"/>
              <w:left w:val="nil"/>
              <w:bottom w:val="nil"/>
              <w:right w:val="nil"/>
            </w:tcBorders>
            <w:shd w:val="clear" w:color="auto" w:fill="auto"/>
            <w:vAlign w:val="center"/>
          </w:tcPr>
          <w:p w14:paraId="49B165D8"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1.497,98</w:t>
            </w:r>
          </w:p>
        </w:tc>
        <w:tc>
          <w:tcPr>
            <w:tcW w:w="830" w:type="dxa"/>
            <w:tcBorders>
              <w:top w:val="nil"/>
              <w:left w:val="nil"/>
              <w:bottom w:val="nil"/>
              <w:right w:val="nil"/>
            </w:tcBorders>
            <w:shd w:val="clear" w:color="auto" w:fill="auto"/>
            <w:vAlign w:val="center"/>
            <w:hideMark/>
          </w:tcPr>
          <w:p w14:paraId="359CFA3E"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3812A3DE" w14:textId="77777777" w:rsidTr="00523291">
        <w:trPr>
          <w:trHeight w:val="462"/>
        </w:trPr>
        <w:tc>
          <w:tcPr>
            <w:tcW w:w="503" w:type="dxa"/>
            <w:tcBorders>
              <w:top w:val="nil"/>
              <w:left w:val="nil"/>
              <w:bottom w:val="nil"/>
              <w:right w:val="nil"/>
            </w:tcBorders>
            <w:shd w:val="clear" w:color="auto" w:fill="auto"/>
            <w:hideMark/>
          </w:tcPr>
          <w:p w14:paraId="3D618A31"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9.</w:t>
            </w:r>
          </w:p>
        </w:tc>
        <w:tc>
          <w:tcPr>
            <w:tcW w:w="6189" w:type="dxa"/>
            <w:tcBorders>
              <w:top w:val="nil"/>
              <w:left w:val="nil"/>
              <w:bottom w:val="nil"/>
              <w:right w:val="nil"/>
            </w:tcBorders>
            <w:shd w:val="clear" w:color="auto" w:fill="auto"/>
            <w:hideMark/>
          </w:tcPr>
          <w:p w14:paraId="61FF4FF7"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Nabavka i opremanje objekta za Središnji ured i Regionalni centar Banja Luka </w:t>
            </w:r>
          </w:p>
        </w:tc>
        <w:tc>
          <w:tcPr>
            <w:tcW w:w="1811" w:type="dxa"/>
            <w:tcBorders>
              <w:top w:val="nil"/>
              <w:left w:val="nil"/>
              <w:bottom w:val="nil"/>
              <w:right w:val="nil"/>
            </w:tcBorders>
            <w:shd w:val="clear" w:color="auto" w:fill="auto"/>
            <w:vAlign w:val="center"/>
            <w:hideMark/>
          </w:tcPr>
          <w:p w14:paraId="1AABB297"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37.900.000,00</w:t>
            </w:r>
          </w:p>
        </w:tc>
        <w:tc>
          <w:tcPr>
            <w:tcW w:w="830" w:type="dxa"/>
            <w:tcBorders>
              <w:top w:val="nil"/>
              <w:left w:val="nil"/>
              <w:bottom w:val="nil"/>
              <w:right w:val="nil"/>
            </w:tcBorders>
            <w:shd w:val="clear" w:color="auto" w:fill="auto"/>
            <w:vAlign w:val="center"/>
            <w:hideMark/>
          </w:tcPr>
          <w:p w14:paraId="47EF07FF"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446CC279" w14:textId="77777777" w:rsidTr="00523291">
        <w:trPr>
          <w:trHeight w:val="288"/>
        </w:trPr>
        <w:tc>
          <w:tcPr>
            <w:tcW w:w="503" w:type="dxa"/>
            <w:tcBorders>
              <w:top w:val="nil"/>
              <w:left w:val="nil"/>
              <w:bottom w:val="nil"/>
              <w:right w:val="nil"/>
            </w:tcBorders>
            <w:shd w:val="clear" w:color="auto" w:fill="auto"/>
            <w:vAlign w:val="center"/>
            <w:hideMark/>
          </w:tcPr>
          <w:p w14:paraId="3E255A82"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10.</w:t>
            </w:r>
          </w:p>
        </w:tc>
        <w:tc>
          <w:tcPr>
            <w:tcW w:w="6189" w:type="dxa"/>
            <w:tcBorders>
              <w:top w:val="nil"/>
              <w:left w:val="nil"/>
              <w:bottom w:val="nil"/>
              <w:right w:val="nil"/>
            </w:tcBorders>
            <w:shd w:val="clear" w:color="auto" w:fill="auto"/>
            <w:vAlign w:val="center"/>
            <w:hideMark/>
          </w:tcPr>
          <w:p w14:paraId="3A0E056B"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Izrada  nove  porezne  aplikacije  u IS UIO</w:t>
            </w:r>
          </w:p>
        </w:tc>
        <w:tc>
          <w:tcPr>
            <w:tcW w:w="1811" w:type="dxa"/>
            <w:tcBorders>
              <w:top w:val="nil"/>
              <w:left w:val="nil"/>
              <w:bottom w:val="nil"/>
              <w:right w:val="nil"/>
            </w:tcBorders>
            <w:shd w:val="clear" w:color="auto" w:fill="auto"/>
            <w:vAlign w:val="center"/>
            <w:hideMark/>
          </w:tcPr>
          <w:p w14:paraId="46F2ABB1"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6.583,40</w:t>
            </w:r>
          </w:p>
        </w:tc>
        <w:tc>
          <w:tcPr>
            <w:tcW w:w="830" w:type="dxa"/>
            <w:tcBorders>
              <w:top w:val="nil"/>
              <w:left w:val="nil"/>
              <w:bottom w:val="nil"/>
              <w:right w:val="nil"/>
            </w:tcBorders>
            <w:shd w:val="clear" w:color="auto" w:fill="auto"/>
            <w:vAlign w:val="center"/>
            <w:hideMark/>
          </w:tcPr>
          <w:p w14:paraId="66B18CA0"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32C0CE91" w14:textId="77777777" w:rsidTr="00523291">
        <w:trPr>
          <w:trHeight w:val="938"/>
        </w:trPr>
        <w:tc>
          <w:tcPr>
            <w:tcW w:w="503" w:type="dxa"/>
            <w:tcBorders>
              <w:top w:val="nil"/>
              <w:left w:val="nil"/>
              <w:bottom w:val="nil"/>
              <w:right w:val="nil"/>
            </w:tcBorders>
            <w:shd w:val="clear" w:color="auto" w:fill="auto"/>
            <w:hideMark/>
          </w:tcPr>
          <w:p w14:paraId="1B6D6876"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11.</w:t>
            </w:r>
          </w:p>
        </w:tc>
        <w:tc>
          <w:tcPr>
            <w:tcW w:w="6189" w:type="dxa"/>
            <w:tcBorders>
              <w:top w:val="nil"/>
              <w:left w:val="nil"/>
              <w:bottom w:val="nil"/>
              <w:right w:val="nil"/>
            </w:tcBorders>
            <w:shd w:val="clear" w:color="auto" w:fill="auto"/>
            <w:hideMark/>
          </w:tcPr>
          <w:p w14:paraId="4F4D3BCD"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Izgradnja i opremanje novih i rekonstrukcija postojećih objekata na GP Vardište i u zračnim lukama Mostar i Tuzla za potrebe smještaja zaposlenih u jedinicama Granične policije i carinskim ispostavama UIO i zaposlenih u inspekcijskim službama</w:t>
            </w:r>
          </w:p>
        </w:tc>
        <w:tc>
          <w:tcPr>
            <w:tcW w:w="1811" w:type="dxa"/>
            <w:tcBorders>
              <w:top w:val="nil"/>
              <w:left w:val="nil"/>
              <w:bottom w:val="nil"/>
              <w:right w:val="nil"/>
            </w:tcBorders>
            <w:shd w:val="clear" w:color="auto" w:fill="auto"/>
            <w:vAlign w:val="center"/>
            <w:hideMark/>
          </w:tcPr>
          <w:p w14:paraId="60FC0582"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138.712,28</w:t>
            </w:r>
          </w:p>
        </w:tc>
        <w:tc>
          <w:tcPr>
            <w:tcW w:w="830" w:type="dxa"/>
            <w:tcBorders>
              <w:top w:val="nil"/>
              <w:left w:val="nil"/>
              <w:bottom w:val="nil"/>
              <w:right w:val="nil"/>
            </w:tcBorders>
            <w:shd w:val="clear" w:color="auto" w:fill="auto"/>
            <w:vAlign w:val="center"/>
            <w:hideMark/>
          </w:tcPr>
          <w:p w14:paraId="3F6C247E"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76778C67" w14:textId="77777777" w:rsidTr="00523291">
        <w:trPr>
          <w:trHeight w:val="288"/>
        </w:trPr>
        <w:tc>
          <w:tcPr>
            <w:tcW w:w="503" w:type="dxa"/>
            <w:tcBorders>
              <w:top w:val="nil"/>
              <w:left w:val="nil"/>
              <w:bottom w:val="nil"/>
              <w:right w:val="nil"/>
            </w:tcBorders>
            <w:shd w:val="clear" w:color="auto" w:fill="auto"/>
            <w:vAlign w:val="center"/>
            <w:hideMark/>
          </w:tcPr>
          <w:p w14:paraId="29C14D85"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12.</w:t>
            </w:r>
          </w:p>
        </w:tc>
        <w:tc>
          <w:tcPr>
            <w:tcW w:w="6189" w:type="dxa"/>
            <w:tcBorders>
              <w:top w:val="nil"/>
              <w:left w:val="nil"/>
              <w:bottom w:val="nil"/>
              <w:right w:val="nil"/>
            </w:tcBorders>
            <w:shd w:val="clear" w:color="auto" w:fill="auto"/>
            <w:vAlign w:val="center"/>
            <w:hideMark/>
          </w:tcPr>
          <w:p w14:paraId="77C7ADAC"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Izgradnja GP Bratunac - Ljubovija </w:t>
            </w:r>
          </w:p>
        </w:tc>
        <w:tc>
          <w:tcPr>
            <w:tcW w:w="1811" w:type="dxa"/>
            <w:tcBorders>
              <w:top w:val="nil"/>
              <w:left w:val="nil"/>
              <w:bottom w:val="nil"/>
              <w:right w:val="nil"/>
            </w:tcBorders>
            <w:shd w:val="clear" w:color="auto" w:fill="auto"/>
            <w:vAlign w:val="center"/>
            <w:hideMark/>
          </w:tcPr>
          <w:p w14:paraId="425E8ED4"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81.864,25</w:t>
            </w:r>
          </w:p>
        </w:tc>
        <w:tc>
          <w:tcPr>
            <w:tcW w:w="830" w:type="dxa"/>
            <w:tcBorders>
              <w:top w:val="nil"/>
              <w:left w:val="nil"/>
              <w:bottom w:val="nil"/>
              <w:right w:val="nil"/>
            </w:tcBorders>
            <w:shd w:val="clear" w:color="auto" w:fill="auto"/>
            <w:vAlign w:val="center"/>
            <w:hideMark/>
          </w:tcPr>
          <w:p w14:paraId="409A31DC"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07A96BBC" w14:textId="77777777" w:rsidTr="00523291">
        <w:trPr>
          <w:trHeight w:val="462"/>
        </w:trPr>
        <w:tc>
          <w:tcPr>
            <w:tcW w:w="503" w:type="dxa"/>
            <w:tcBorders>
              <w:top w:val="nil"/>
              <w:left w:val="nil"/>
              <w:bottom w:val="nil"/>
              <w:right w:val="nil"/>
            </w:tcBorders>
            <w:shd w:val="clear" w:color="auto" w:fill="auto"/>
            <w:hideMark/>
          </w:tcPr>
          <w:p w14:paraId="63523032"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13.</w:t>
            </w:r>
          </w:p>
        </w:tc>
        <w:tc>
          <w:tcPr>
            <w:tcW w:w="6189" w:type="dxa"/>
            <w:tcBorders>
              <w:top w:val="nil"/>
              <w:left w:val="nil"/>
              <w:bottom w:val="nil"/>
              <w:right w:val="nil"/>
            </w:tcBorders>
            <w:shd w:val="clear" w:color="auto" w:fill="auto"/>
            <w:hideMark/>
          </w:tcPr>
          <w:p w14:paraId="630FD3D7"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Implementacija rezervne lokacije za carinski i poreski podsistem informacionog sistema UIO</w:t>
            </w:r>
          </w:p>
        </w:tc>
        <w:tc>
          <w:tcPr>
            <w:tcW w:w="1811" w:type="dxa"/>
            <w:tcBorders>
              <w:top w:val="nil"/>
              <w:left w:val="nil"/>
              <w:bottom w:val="nil"/>
              <w:right w:val="nil"/>
            </w:tcBorders>
            <w:shd w:val="clear" w:color="auto" w:fill="auto"/>
            <w:vAlign w:val="center"/>
            <w:hideMark/>
          </w:tcPr>
          <w:p w14:paraId="713ECB99"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15.450,01</w:t>
            </w:r>
          </w:p>
        </w:tc>
        <w:tc>
          <w:tcPr>
            <w:tcW w:w="830" w:type="dxa"/>
            <w:tcBorders>
              <w:top w:val="nil"/>
              <w:left w:val="nil"/>
              <w:bottom w:val="nil"/>
              <w:right w:val="nil"/>
            </w:tcBorders>
            <w:shd w:val="clear" w:color="auto" w:fill="auto"/>
            <w:vAlign w:val="center"/>
            <w:hideMark/>
          </w:tcPr>
          <w:p w14:paraId="1115AD63"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04CD7C05" w14:textId="77777777" w:rsidTr="00523291">
        <w:trPr>
          <w:trHeight w:val="306"/>
        </w:trPr>
        <w:tc>
          <w:tcPr>
            <w:tcW w:w="503" w:type="dxa"/>
            <w:tcBorders>
              <w:top w:val="nil"/>
              <w:left w:val="nil"/>
              <w:bottom w:val="nil"/>
              <w:right w:val="nil"/>
            </w:tcBorders>
            <w:shd w:val="clear" w:color="auto" w:fill="auto"/>
            <w:hideMark/>
          </w:tcPr>
          <w:p w14:paraId="0996CAB1"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14.</w:t>
            </w:r>
          </w:p>
        </w:tc>
        <w:tc>
          <w:tcPr>
            <w:tcW w:w="6189" w:type="dxa"/>
            <w:tcBorders>
              <w:top w:val="nil"/>
              <w:left w:val="nil"/>
              <w:bottom w:val="nil"/>
              <w:right w:val="nil"/>
            </w:tcBorders>
            <w:shd w:val="clear" w:color="auto" w:fill="auto"/>
            <w:hideMark/>
          </w:tcPr>
          <w:p w14:paraId="78EA8F0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Nadogradnja carinskog podsistema informacionog sistema UIO</w:t>
            </w:r>
          </w:p>
        </w:tc>
        <w:tc>
          <w:tcPr>
            <w:tcW w:w="1811" w:type="dxa"/>
            <w:tcBorders>
              <w:top w:val="nil"/>
              <w:left w:val="nil"/>
              <w:bottom w:val="nil"/>
              <w:right w:val="nil"/>
            </w:tcBorders>
            <w:shd w:val="clear" w:color="auto" w:fill="auto"/>
            <w:vAlign w:val="center"/>
            <w:hideMark/>
          </w:tcPr>
          <w:p w14:paraId="597E48F3"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7.150,00</w:t>
            </w:r>
          </w:p>
        </w:tc>
        <w:tc>
          <w:tcPr>
            <w:tcW w:w="830" w:type="dxa"/>
            <w:tcBorders>
              <w:top w:val="nil"/>
              <w:left w:val="nil"/>
              <w:bottom w:val="nil"/>
              <w:right w:val="nil"/>
            </w:tcBorders>
            <w:shd w:val="clear" w:color="auto" w:fill="auto"/>
            <w:vAlign w:val="center"/>
            <w:hideMark/>
          </w:tcPr>
          <w:p w14:paraId="5CC175B5"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0087EAD2" w14:textId="77777777" w:rsidTr="00523291">
        <w:trPr>
          <w:trHeight w:val="288"/>
        </w:trPr>
        <w:tc>
          <w:tcPr>
            <w:tcW w:w="503" w:type="dxa"/>
            <w:tcBorders>
              <w:top w:val="nil"/>
              <w:left w:val="nil"/>
              <w:bottom w:val="nil"/>
              <w:right w:val="nil"/>
            </w:tcBorders>
            <w:shd w:val="clear" w:color="auto" w:fill="auto"/>
            <w:vAlign w:val="center"/>
            <w:hideMark/>
          </w:tcPr>
          <w:p w14:paraId="5A1B886F"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15.</w:t>
            </w:r>
          </w:p>
        </w:tc>
        <w:tc>
          <w:tcPr>
            <w:tcW w:w="6189" w:type="dxa"/>
            <w:tcBorders>
              <w:top w:val="nil"/>
              <w:left w:val="nil"/>
              <w:bottom w:val="nil"/>
              <w:right w:val="nil"/>
            </w:tcBorders>
            <w:shd w:val="clear" w:color="auto" w:fill="auto"/>
            <w:vAlign w:val="center"/>
            <w:hideMark/>
          </w:tcPr>
          <w:p w14:paraId="6D4DE223"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Izgradnja i opremanje objekta arhiva u Mostaru (klirinški dug)</w:t>
            </w:r>
          </w:p>
        </w:tc>
        <w:tc>
          <w:tcPr>
            <w:tcW w:w="1811" w:type="dxa"/>
            <w:tcBorders>
              <w:top w:val="nil"/>
              <w:left w:val="nil"/>
              <w:bottom w:val="nil"/>
              <w:right w:val="nil"/>
            </w:tcBorders>
            <w:shd w:val="clear" w:color="auto" w:fill="auto"/>
            <w:vAlign w:val="center"/>
          </w:tcPr>
          <w:p w14:paraId="5FE9546B"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31.919,18</w:t>
            </w:r>
          </w:p>
        </w:tc>
        <w:tc>
          <w:tcPr>
            <w:tcW w:w="830" w:type="dxa"/>
            <w:tcBorders>
              <w:top w:val="nil"/>
              <w:left w:val="nil"/>
              <w:bottom w:val="nil"/>
              <w:right w:val="nil"/>
            </w:tcBorders>
            <w:shd w:val="clear" w:color="auto" w:fill="auto"/>
            <w:vAlign w:val="center"/>
            <w:hideMark/>
          </w:tcPr>
          <w:p w14:paraId="155888E1"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0CC8E99E" w14:textId="77777777" w:rsidTr="00523291">
        <w:trPr>
          <w:trHeight w:val="288"/>
        </w:trPr>
        <w:tc>
          <w:tcPr>
            <w:tcW w:w="503" w:type="dxa"/>
            <w:tcBorders>
              <w:top w:val="nil"/>
              <w:left w:val="nil"/>
              <w:bottom w:val="nil"/>
              <w:right w:val="nil"/>
            </w:tcBorders>
            <w:shd w:val="clear" w:color="auto" w:fill="auto"/>
            <w:vAlign w:val="center"/>
            <w:hideMark/>
          </w:tcPr>
          <w:p w14:paraId="79482DE9"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16.</w:t>
            </w:r>
          </w:p>
        </w:tc>
        <w:tc>
          <w:tcPr>
            <w:tcW w:w="6189" w:type="dxa"/>
            <w:tcBorders>
              <w:top w:val="nil"/>
              <w:left w:val="nil"/>
              <w:bottom w:val="nil"/>
              <w:right w:val="nil"/>
            </w:tcBorders>
            <w:shd w:val="clear" w:color="auto" w:fill="auto"/>
            <w:vAlign w:val="center"/>
            <w:hideMark/>
          </w:tcPr>
          <w:p w14:paraId="6116499E"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Rekonstrukcija objekta bivše FUC u Tuzli</w:t>
            </w:r>
          </w:p>
        </w:tc>
        <w:tc>
          <w:tcPr>
            <w:tcW w:w="1811" w:type="dxa"/>
            <w:tcBorders>
              <w:top w:val="nil"/>
              <w:left w:val="nil"/>
              <w:bottom w:val="nil"/>
              <w:right w:val="nil"/>
            </w:tcBorders>
            <w:shd w:val="clear" w:color="auto" w:fill="auto"/>
            <w:vAlign w:val="center"/>
            <w:hideMark/>
          </w:tcPr>
          <w:p w14:paraId="2F130F16"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71.538,01</w:t>
            </w:r>
          </w:p>
        </w:tc>
        <w:tc>
          <w:tcPr>
            <w:tcW w:w="830" w:type="dxa"/>
            <w:tcBorders>
              <w:top w:val="nil"/>
              <w:left w:val="nil"/>
              <w:bottom w:val="nil"/>
              <w:right w:val="nil"/>
            </w:tcBorders>
            <w:shd w:val="clear" w:color="auto" w:fill="auto"/>
            <w:vAlign w:val="center"/>
            <w:hideMark/>
          </w:tcPr>
          <w:p w14:paraId="09368CEC"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1F1AAC91" w14:textId="77777777" w:rsidTr="00523291">
        <w:trPr>
          <w:trHeight w:val="288"/>
        </w:trPr>
        <w:tc>
          <w:tcPr>
            <w:tcW w:w="503" w:type="dxa"/>
            <w:tcBorders>
              <w:top w:val="nil"/>
              <w:left w:val="nil"/>
              <w:bottom w:val="nil"/>
              <w:right w:val="nil"/>
            </w:tcBorders>
            <w:shd w:val="clear" w:color="auto" w:fill="auto"/>
            <w:vAlign w:val="center"/>
            <w:hideMark/>
          </w:tcPr>
          <w:p w14:paraId="12B70880"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17.</w:t>
            </w:r>
          </w:p>
        </w:tc>
        <w:tc>
          <w:tcPr>
            <w:tcW w:w="6189" w:type="dxa"/>
            <w:tcBorders>
              <w:top w:val="nil"/>
              <w:left w:val="nil"/>
              <w:bottom w:val="nil"/>
              <w:right w:val="nil"/>
            </w:tcBorders>
            <w:shd w:val="clear" w:color="auto" w:fill="auto"/>
            <w:vAlign w:val="center"/>
          </w:tcPr>
          <w:p w14:paraId="12CDCF86"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 xml:space="preserve">Izgradnja GP Doljani          </w:t>
            </w:r>
          </w:p>
        </w:tc>
        <w:tc>
          <w:tcPr>
            <w:tcW w:w="1811" w:type="dxa"/>
            <w:tcBorders>
              <w:top w:val="nil"/>
              <w:left w:val="nil"/>
              <w:bottom w:val="nil"/>
              <w:right w:val="nil"/>
            </w:tcBorders>
            <w:shd w:val="clear" w:color="auto" w:fill="auto"/>
            <w:vAlign w:val="center"/>
          </w:tcPr>
          <w:p w14:paraId="7C9F03EB"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3.193.272,50</w:t>
            </w:r>
          </w:p>
        </w:tc>
        <w:tc>
          <w:tcPr>
            <w:tcW w:w="830" w:type="dxa"/>
            <w:tcBorders>
              <w:top w:val="nil"/>
              <w:left w:val="nil"/>
              <w:bottom w:val="nil"/>
              <w:right w:val="nil"/>
            </w:tcBorders>
            <w:shd w:val="clear" w:color="auto" w:fill="auto"/>
            <w:vAlign w:val="center"/>
          </w:tcPr>
          <w:p w14:paraId="7B665012"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r w:rsidR="00523291" w:rsidRPr="00512BE3" w14:paraId="3BAD41F7" w14:textId="77777777" w:rsidTr="00523291">
        <w:trPr>
          <w:trHeight w:val="288"/>
        </w:trPr>
        <w:tc>
          <w:tcPr>
            <w:tcW w:w="503" w:type="dxa"/>
            <w:tcBorders>
              <w:top w:val="nil"/>
              <w:left w:val="nil"/>
              <w:bottom w:val="nil"/>
              <w:right w:val="nil"/>
            </w:tcBorders>
            <w:shd w:val="clear" w:color="auto" w:fill="auto"/>
            <w:vAlign w:val="center"/>
            <w:hideMark/>
          </w:tcPr>
          <w:p w14:paraId="5D5AEB0D"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lastRenderedPageBreak/>
              <w:t>18.</w:t>
            </w:r>
          </w:p>
        </w:tc>
        <w:tc>
          <w:tcPr>
            <w:tcW w:w="6189" w:type="dxa"/>
            <w:tcBorders>
              <w:top w:val="nil"/>
              <w:left w:val="nil"/>
              <w:bottom w:val="nil"/>
              <w:right w:val="nil"/>
            </w:tcBorders>
            <w:shd w:val="clear" w:color="auto" w:fill="auto"/>
            <w:vAlign w:val="center"/>
            <w:hideMark/>
          </w:tcPr>
          <w:p w14:paraId="03F82A4B"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Izgradnja GP Osoje</w:t>
            </w:r>
          </w:p>
        </w:tc>
        <w:tc>
          <w:tcPr>
            <w:tcW w:w="1811" w:type="dxa"/>
            <w:tcBorders>
              <w:top w:val="nil"/>
              <w:left w:val="nil"/>
              <w:bottom w:val="nil"/>
              <w:right w:val="nil"/>
            </w:tcBorders>
            <w:shd w:val="clear" w:color="auto" w:fill="auto"/>
            <w:vAlign w:val="center"/>
            <w:hideMark/>
          </w:tcPr>
          <w:p w14:paraId="627B272E" w14:textId="77777777" w:rsidR="00523291" w:rsidRPr="00512BE3" w:rsidRDefault="00523291" w:rsidP="00523291">
            <w:pPr>
              <w:pStyle w:val="NoSpacing"/>
              <w:jc w:val="right"/>
              <w:rPr>
                <w:rFonts w:ascii="Times New Roman" w:hAnsi="Times New Roman"/>
                <w:sz w:val="22"/>
                <w:szCs w:val="22"/>
                <w:lang w:val="sr-Latn-RS"/>
              </w:rPr>
            </w:pPr>
            <w:r w:rsidRPr="00512BE3">
              <w:rPr>
                <w:rFonts w:ascii="Times New Roman" w:hAnsi="Times New Roman"/>
                <w:sz w:val="22"/>
                <w:szCs w:val="22"/>
                <w:lang w:val="sr-Latn-RS"/>
              </w:rPr>
              <w:t xml:space="preserve">        5.200.000,00</w:t>
            </w:r>
          </w:p>
        </w:tc>
        <w:tc>
          <w:tcPr>
            <w:tcW w:w="830" w:type="dxa"/>
            <w:tcBorders>
              <w:top w:val="nil"/>
              <w:left w:val="nil"/>
              <w:bottom w:val="nil"/>
              <w:right w:val="nil"/>
            </w:tcBorders>
            <w:shd w:val="clear" w:color="auto" w:fill="auto"/>
            <w:vAlign w:val="center"/>
            <w:hideMark/>
          </w:tcPr>
          <w:p w14:paraId="299B08CC" w14:textId="77777777" w:rsidR="00523291" w:rsidRPr="00512BE3" w:rsidRDefault="00523291" w:rsidP="00523291">
            <w:pPr>
              <w:pStyle w:val="NoSpacing"/>
              <w:rPr>
                <w:rFonts w:ascii="Times New Roman" w:hAnsi="Times New Roman"/>
                <w:sz w:val="22"/>
                <w:szCs w:val="22"/>
                <w:lang w:val="sr-Latn-RS"/>
              </w:rPr>
            </w:pPr>
            <w:r w:rsidRPr="00512BE3">
              <w:rPr>
                <w:rFonts w:ascii="Times New Roman" w:hAnsi="Times New Roman"/>
                <w:sz w:val="22"/>
                <w:szCs w:val="22"/>
                <w:lang w:val="sr-Latn-RS"/>
              </w:rPr>
              <w:t>KM</w:t>
            </w:r>
          </w:p>
        </w:tc>
      </w:tr>
    </w:tbl>
    <w:p w14:paraId="2D960184" w14:textId="77777777" w:rsidR="0023364C" w:rsidRPr="00512BE3" w:rsidRDefault="0023364C" w:rsidP="0023364C">
      <w:pPr>
        <w:pStyle w:val="NoSpacing"/>
        <w:rPr>
          <w:rFonts w:ascii="Times New Roman" w:hAnsi="Times New Roman"/>
          <w:sz w:val="22"/>
          <w:szCs w:val="22"/>
          <w:lang w:val="sr-Latn-RS"/>
        </w:rPr>
      </w:pPr>
    </w:p>
    <w:p w14:paraId="6EC50143" w14:textId="53FEA31D" w:rsidR="0023364C" w:rsidRPr="00512BE3" w:rsidRDefault="0023364C" w:rsidP="0023364C">
      <w:pPr>
        <w:pStyle w:val="NoSpacing"/>
        <w:jc w:val="both"/>
        <w:rPr>
          <w:rFonts w:ascii="Times New Roman" w:hAnsi="Times New Roman"/>
          <w:sz w:val="22"/>
          <w:szCs w:val="22"/>
          <w:lang w:val="sr-Latn-RS"/>
        </w:rPr>
      </w:pPr>
      <w:r w:rsidRPr="00512BE3">
        <w:rPr>
          <w:rFonts w:ascii="Times New Roman" w:hAnsi="Times New Roman"/>
          <w:sz w:val="22"/>
          <w:szCs w:val="22"/>
          <w:lang w:val="sr-Latn-RS"/>
        </w:rPr>
        <w:t>Evidentiranje rashoda na teret budžeta 202</w:t>
      </w:r>
      <w:r w:rsidR="00523291" w:rsidRPr="00512BE3">
        <w:rPr>
          <w:rFonts w:ascii="Times New Roman" w:hAnsi="Times New Roman"/>
          <w:sz w:val="22"/>
          <w:szCs w:val="22"/>
          <w:lang w:val="sr-Latn-RS"/>
        </w:rPr>
        <w:t>2</w:t>
      </w:r>
      <w:r w:rsidRPr="00512BE3">
        <w:rPr>
          <w:rFonts w:ascii="Times New Roman" w:hAnsi="Times New Roman"/>
          <w:sz w:val="22"/>
          <w:szCs w:val="22"/>
          <w:lang w:val="sr-Latn-RS"/>
        </w:rPr>
        <w:t>. godine vrši se u Glav</w:t>
      </w:r>
      <w:r w:rsidR="00523291" w:rsidRPr="00512BE3">
        <w:rPr>
          <w:rFonts w:ascii="Times New Roman" w:hAnsi="Times New Roman"/>
          <w:sz w:val="22"/>
          <w:szCs w:val="22"/>
          <w:lang w:val="sr-Latn-RS"/>
        </w:rPr>
        <w:t>noj knjizi trezora do 31.01.2023</w:t>
      </w:r>
      <w:r w:rsidRPr="00512BE3">
        <w:rPr>
          <w:rFonts w:ascii="Times New Roman" w:hAnsi="Times New Roman"/>
          <w:sz w:val="22"/>
          <w:szCs w:val="22"/>
          <w:lang w:val="sr-Latn-RS"/>
        </w:rPr>
        <w:t>. godine, tako da na dan sačinjavanja izvještaja u knjigovodstvu nisu evidentirani svi rashod</w:t>
      </w:r>
      <w:r w:rsidR="00523291" w:rsidRPr="00512BE3">
        <w:rPr>
          <w:rFonts w:ascii="Times New Roman" w:hAnsi="Times New Roman"/>
          <w:sz w:val="22"/>
          <w:szCs w:val="22"/>
          <w:lang w:val="sr-Latn-RS"/>
        </w:rPr>
        <w:t>i koji će teretiti fiskalnu 2022</w:t>
      </w:r>
      <w:r w:rsidRPr="00512BE3">
        <w:rPr>
          <w:rFonts w:ascii="Times New Roman" w:hAnsi="Times New Roman"/>
          <w:sz w:val="22"/>
          <w:szCs w:val="22"/>
          <w:lang w:val="sr-Latn-RS"/>
        </w:rPr>
        <w:t xml:space="preserve">. godinu. </w:t>
      </w:r>
    </w:p>
    <w:p w14:paraId="16CE5F27" w14:textId="77777777" w:rsidR="004F1461" w:rsidRPr="00512BE3" w:rsidRDefault="00D8485A" w:rsidP="000B735A">
      <w:pPr>
        <w:pStyle w:val="Heading1"/>
        <w:spacing w:before="120" w:after="120"/>
        <w:ind w:left="431" w:hanging="431"/>
      </w:pPr>
      <w:bookmarkStart w:id="46" w:name="_Toc95294165"/>
      <w:r w:rsidRPr="00512BE3">
        <w:t>PROBLEMI U FUNKCIONISANJU UIO</w:t>
      </w:r>
      <w:bookmarkEnd w:id="46"/>
    </w:p>
    <w:p w14:paraId="4AD4F0A1" w14:textId="787547A0" w:rsidR="001A2DBA" w:rsidRPr="00512BE3" w:rsidRDefault="00CD7304" w:rsidP="00F746D5">
      <w:pPr>
        <w:spacing w:after="40"/>
        <w:ind w:firstLine="709"/>
        <w:jc w:val="both"/>
        <w:rPr>
          <w:rFonts w:eastAsia="Calibri"/>
          <w:sz w:val="22"/>
          <w:szCs w:val="22"/>
          <w:lang w:val="sr-Latn-BA" w:eastAsia="en-US"/>
        </w:rPr>
      </w:pPr>
      <w:r w:rsidRPr="00512BE3">
        <w:rPr>
          <w:rFonts w:eastAsia="Calibri"/>
          <w:sz w:val="22"/>
          <w:szCs w:val="22"/>
          <w:lang w:val="sr-Latn-BA" w:eastAsia="en-US"/>
        </w:rPr>
        <w:t>Analiz</w:t>
      </w:r>
      <w:r w:rsidR="00165742" w:rsidRPr="00512BE3">
        <w:rPr>
          <w:rFonts w:eastAsia="Calibri"/>
          <w:sz w:val="22"/>
          <w:szCs w:val="22"/>
          <w:lang w:val="sr-Latn-BA" w:eastAsia="en-US"/>
        </w:rPr>
        <w:t xml:space="preserve">irajući </w:t>
      </w:r>
      <w:r w:rsidR="0066761D" w:rsidRPr="00512BE3">
        <w:rPr>
          <w:rFonts w:eastAsia="Calibri"/>
          <w:sz w:val="22"/>
          <w:szCs w:val="22"/>
          <w:lang w:val="sr-Latn-BA" w:eastAsia="en-US"/>
        </w:rPr>
        <w:t>funkcionisanje</w:t>
      </w:r>
      <w:r w:rsidR="00165742" w:rsidRPr="00512BE3">
        <w:rPr>
          <w:rFonts w:eastAsia="Calibri"/>
          <w:sz w:val="22"/>
          <w:szCs w:val="22"/>
          <w:lang w:val="sr-Latn-BA" w:eastAsia="en-US"/>
        </w:rPr>
        <w:t xml:space="preserve"> UIO i okolnosti u kojima se odvijaju poslovni procesi UIO identifikovani su rizici koji predstavljaju prijetnju za ostvarivanje operativnih i strateških ciljeva UIO, kao i njezinom daljem napretku i modernizaciji. Identifikovani rizici se po uzroku nastanka mogu definisati </w:t>
      </w:r>
      <w:r w:rsidR="007B6CB6" w:rsidRPr="00512BE3">
        <w:rPr>
          <w:rFonts w:eastAsia="Calibri"/>
          <w:sz w:val="22"/>
          <w:szCs w:val="22"/>
          <w:lang w:val="sr-Latn-BA" w:eastAsia="en-US"/>
        </w:rPr>
        <w:t>kao unutrašnji i vanjski rizici:</w:t>
      </w:r>
    </w:p>
    <w:p w14:paraId="618E2C7E" w14:textId="77777777" w:rsidR="00CD7304" w:rsidRPr="00512BE3" w:rsidRDefault="00CF6A75" w:rsidP="00CF6A75">
      <w:pPr>
        <w:spacing w:after="40"/>
        <w:jc w:val="both"/>
        <w:rPr>
          <w:rFonts w:eastAsia="Calibri"/>
          <w:b/>
          <w:i/>
          <w:sz w:val="22"/>
          <w:szCs w:val="22"/>
          <w:lang w:val="sr-Latn-BA" w:eastAsia="en-US"/>
        </w:rPr>
      </w:pPr>
      <w:r w:rsidRPr="00512BE3">
        <w:rPr>
          <w:rFonts w:eastAsia="Calibri"/>
          <w:sz w:val="22"/>
          <w:szCs w:val="22"/>
          <w:lang w:val="sr-Latn-BA" w:eastAsia="en-US"/>
        </w:rPr>
        <w:t xml:space="preserve">1) </w:t>
      </w:r>
      <w:r w:rsidRPr="00512BE3">
        <w:rPr>
          <w:rFonts w:eastAsia="Calibri"/>
          <w:b/>
          <w:i/>
          <w:sz w:val="22"/>
          <w:szCs w:val="22"/>
          <w:lang w:val="sr-Latn-BA" w:eastAsia="en-US"/>
        </w:rPr>
        <w:t>Unutrašnji rizici kao prijetnja funkcionisanju UIO:</w:t>
      </w:r>
    </w:p>
    <w:p w14:paraId="13D9768A" w14:textId="6BA25247" w:rsidR="00A17705" w:rsidRPr="00367A9A" w:rsidRDefault="00F81F22" w:rsidP="00367A9A">
      <w:pPr>
        <w:pStyle w:val="ListParagraph"/>
        <w:numPr>
          <w:ilvl w:val="0"/>
          <w:numId w:val="17"/>
        </w:numPr>
        <w:spacing w:after="40"/>
        <w:contextualSpacing w:val="0"/>
        <w:jc w:val="both"/>
        <w:rPr>
          <w:sz w:val="22"/>
          <w:szCs w:val="22"/>
        </w:rPr>
      </w:pPr>
      <w:r w:rsidRPr="00512BE3">
        <w:rPr>
          <w:sz w:val="22"/>
          <w:szCs w:val="22"/>
        </w:rPr>
        <w:t xml:space="preserve">Nedovoljan broj </w:t>
      </w:r>
      <w:r w:rsidR="000C6E2E" w:rsidRPr="00512BE3">
        <w:rPr>
          <w:sz w:val="22"/>
          <w:szCs w:val="22"/>
        </w:rPr>
        <w:t>izvršilaca posebno u oblasti: upravnog rješavanja</w:t>
      </w:r>
      <w:r w:rsidR="00941FDA" w:rsidRPr="00512BE3">
        <w:rPr>
          <w:sz w:val="22"/>
          <w:szCs w:val="22"/>
        </w:rPr>
        <w:t xml:space="preserve">; </w:t>
      </w:r>
      <w:r w:rsidR="000C6E2E" w:rsidRPr="00512BE3">
        <w:rPr>
          <w:sz w:val="22"/>
          <w:szCs w:val="22"/>
        </w:rPr>
        <w:t>revizije i kontrole</w:t>
      </w:r>
      <w:r w:rsidR="00941FDA" w:rsidRPr="00512BE3">
        <w:rPr>
          <w:sz w:val="22"/>
          <w:szCs w:val="22"/>
        </w:rPr>
        <w:t>;</w:t>
      </w:r>
      <w:r w:rsidR="000C6E2E" w:rsidRPr="00512BE3">
        <w:rPr>
          <w:sz w:val="22"/>
          <w:szCs w:val="22"/>
        </w:rPr>
        <w:t xml:space="preserve"> </w:t>
      </w:r>
      <w:r w:rsidR="00E6446E" w:rsidRPr="00512BE3">
        <w:rPr>
          <w:sz w:val="22"/>
          <w:szCs w:val="22"/>
        </w:rPr>
        <w:t xml:space="preserve">prinudne naplate, </w:t>
      </w:r>
      <w:r w:rsidR="000C6E2E" w:rsidRPr="00512BE3">
        <w:rPr>
          <w:sz w:val="22"/>
          <w:szCs w:val="22"/>
        </w:rPr>
        <w:t>analiz</w:t>
      </w:r>
      <w:r w:rsidR="00A17705" w:rsidRPr="00512BE3">
        <w:rPr>
          <w:sz w:val="22"/>
          <w:szCs w:val="22"/>
        </w:rPr>
        <w:t>e</w:t>
      </w:r>
      <w:r w:rsidR="000C6E2E" w:rsidRPr="00512BE3">
        <w:rPr>
          <w:sz w:val="22"/>
          <w:szCs w:val="22"/>
        </w:rPr>
        <w:t xml:space="preserve"> rizika</w:t>
      </w:r>
      <w:r w:rsidR="00941FDA" w:rsidRPr="00512BE3">
        <w:rPr>
          <w:sz w:val="22"/>
          <w:szCs w:val="22"/>
        </w:rPr>
        <w:t>;</w:t>
      </w:r>
      <w:r w:rsidR="000C6E2E" w:rsidRPr="00512BE3">
        <w:rPr>
          <w:sz w:val="22"/>
          <w:szCs w:val="22"/>
        </w:rPr>
        <w:t xml:space="preserve"> </w:t>
      </w:r>
      <w:r w:rsidR="00F1508A" w:rsidRPr="00512BE3">
        <w:rPr>
          <w:sz w:val="22"/>
          <w:szCs w:val="22"/>
        </w:rPr>
        <w:t xml:space="preserve">Kabinetu direktora, </w:t>
      </w:r>
      <w:r w:rsidR="00894EA8">
        <w:rPr>
          <w:sz w:val="22"/>
          <w:szCs w:val="22"/>
        </w:rPr>
        <w:t>u oblasti carina i poreza i dr.;</w:t>
      </w:r>
      <w:r w:rsidR="000C6E2E" w:rsidRPr="00512BE3">
        <w:rPr>
          <w:sz w:val="22"/>
          <w:szCs w:val="22"/>
        </w:rPr>
        <w:t xml:space="preserve"> </w:t>
      </w:r>
      <w:r w:rsidR="00367A9A">
        <w:rPr>
          <w:sz w:val="22"/>
          <w:szCs w:val="22"/>
        </w:rPr>
        <w:t>n</w:t>
      </w:r>
      <w:r w:rsidR="00A17705" w:rsidRPr="00367A9A">
        <w:rPr>
          <w:sz w:val="22"/>
          <w:szCs w:val="22"/>
          <w:lang w:val="hr-BA"/>
        </w:rPr>
        <w:t>epopunjenost radnih mjesta stručnih savjetnika za drugostepeni upravni postupak predstavlja rizik u postupku donošenja odluka po žalbama u smislu dužine trajanja drugostepenog postupka i neposredno utiče na blagovremenost donošenja odluka</w:t>
      </w:r>
      <w:r w:rsidR="00BB434B" w:rsidRPr="00367A9A">
        <w:rPr>
          <w:sz w:val="22"/>
          <w:szCs w:val="22"/>
          <w:lang w:val="hr-BA"/>
        </w:rPr>
        <w:t>;</w:t>
      </w:r>
      <w:r w:rsidR="00F746D5" w:rsidRPr="00367A9A">
        <w:rPr>
          <w:sz w:val="22"/>
          <w:szCs w:val="22"/>
          <w:lang w:val="hr-BA"/>
        </w:rPr>
        <w:t xml:space="preserve"> </w:t>
      </w:r>
      <w:r w:rsidR="00941FDA" w:rsidRPr="00367A9A">
        <w:rPr>
          <w:rFonts w:eastAsia="Calibri"/>
          <w:sz w:val="22"/>
          <w:szCs w:val="22"/>
          <w:lang w:val="sr-Latn-BA" w:eastAsia="en-US"/>
        </w:rPr>
        <w:t>nepopunjenost radnih mjesta potrebnim brojem izvršilaca posebno Odsjeka za poreze u RC Banja Luka</w:t>
      </w:r>
      <w:r w:rsidR="00165742" w:rsidRPr="00367A9A">
        <w:rPr>
          <w:rFonts w:eastAsia="Calibri"/>
          <w:sz w:val="22"/>
          <w:szCs w:val="22"/>
          <w:lang w:val="sr-Latn-BA" w:eastAsia="en-US"/>
        </w:rPr>
        <w:t>,</w:t>
      </w:r>
      <w:r w:rsidR="00941FDA" w:rsidRPr="00367A9A">
        <w:rPr>
          <w:rFonts w:eastAsia="Calibri"/>
          <w:sz w:val="22"/>
          <w:szCs w:val="22"/>
          <w:lang w:val="sr-Latn-BA" w:eastAsia="en-US"/>
        </w:rPr>
        <w:t xml:space="preserve"> </w:t>
      </w:r>
      <w:r w:rsidR="00165742" w:rsidRPr="00367A9A">
        <w:rPr>
          <w:rFonts w:eastAsia="Calibri"/>
          <w:sz w:val="22"/>
          <w:szCs w:val="22"/>
          <w:lang w:val="sr-Latn-BA" w:eastAsia="en-US"/>
        </w:rPr>
        <w:t xml:space="preserve">što </w:t>
      </w:r>
      <w:r w:rsidR="00607F42" w:rsidRPr="00367A9A">
        <w:rPr>
          <w:rFonts w:eastAsia="Calibri"/>
          <w:sz w:val="22"/>
          <w:szCs w:val="22"/>
          <w:lang w:val="sr-Latn-BA" w:eastAsia="en-US"/>
        </w:rPr>
        <w:t xml:space="preserve">znatno </w:t>
      </w:r>
      <w:r w:rsidR="00165742" w:rsidRPr="00367A9A">
        <w:rPr>
          <w:rFonts w:eastAsia="Calibri"/>
          <w:sz w:val="22"/>
          <w:szCs w:val="22"/>
          <w:lang w:val="sr-Latn-BA" w:eastAsia="en-US"/>
        </w:rPr>
        <w:t>otežava redovno obavljanje poslova</w:t>
      </w:r>
      <w:r w:rsidR="0066761D" w:rsidRPr="00367A9A">
        <w:rPr>
          <w:rFonts w:eastAsia="Calibri"/>
          <w:sz w:val="22"/>
          <w:szCs w:val="22"/>
          <w:lang w:val="sr-Latn-BA" w:eastAsia="en-US"/>
        </w:rPr>
        <w:t>.</w:t>
      </w:r>
    </w:p>
    <w:p w14:paraId="18A5466E" w14:textId="6BFE0C39" w:rsidR="00BB434B" w:rsidRPr="00512BE3" w:rsidRDefault="000765DD" w:rsidP="00BB434B">
      <w:pPr>
        <w:pStyle w:val="ListParagraph"/>
        <w:numPr>
          <w:ilvl w:val="0"/>
          <w:numId w:val="17"/>
        </w:numPr>
        <w:spacing w:after="40"/>
        <w:contextualSpacing w:val="0"/>
        <w:jc w:val="both"/>
        <w:rPr>
          <w:sz w:val="22"/>
          <w:szCs w:val="22"/>
        </w:rPr>
      </w:pPr>
      <w:r w:rsidRPr="00512BE3">
        <w:rPr>
          <w:sz w:val="22"/>
          <w:szCs w:val="22"/>
        </w:rPr>
        <w:t>U 2022</w:t>
      </w:r>
      <w:r w:rsidR="00056D2B" w:rsidRPr="00512BE3">
        <w:rPr>
          <w:sz w:val="22"/>
          <w:szCs w:val="22"/>
        </w:rPr>
        <w:t>. godini je za 1</w:t>
      </w:r>
      <w:r w:rsidRPr="00512BE3">
        <w:rPr>
          <w:sz w:val="22"/>
          <w:szCs w:val="22"/>
        </w:rPr>
        <w:t>4</w:t>
      </w:r>
      <w:r w:rsidR="00056D2B" w:rsidRPr="00512BE3">
        <w:rPr>
          <w:sz w:val="22"/>
          <w:szCs w:val="22"/>
        </w:rPr>
        <w:t>6</w:t>
      </w:r>
      <w:r w:rsidR="00D930AF" w:rsidRPr="00512BE3">
        <w:rPr>
          <w:sz w:val="22"/>
          <w:szCs w:val="22"/>
        </w:rPr>
        <w:t xml:space="preserve"> zaposlenih prestao radnih odnos u UIO po raznim osnovama,</w:t>
      </w:r>
      <w:r w:rsidR="00894EA8">
        <w:rPr>
          <w:sz w:val="22"/>
          <w:szCs w:val="22"/>
        </w:rPr>
        <w:t xml:space="preserve"> a o</w:t>
      </w:r>
      <w:r w:rsidR="00CD7304" w:rsidRPr="00512BE3">
        <w:rPr>
          <w:sz w:val="22"/>
          <w:szCs w:val="22"/>
        </w:rPr>
        <w:t>bim poslova u UIO je znatno povećan i poslovne aktivnosti su sve složenije u odnosu na ranije godine funkcionisanja ove Uprave, koja činjenica nije propraćena angažovanjem dovoljnog broja izvršilaca i adekvatnom organizacionom strukturom što znatno otežava efikasno i efektivno izvršava</w:t>
      </w:r>
      <w:r w:rsidR="0066761D" w:rsidRPr="00512BE3">
        <w:rPr>
          <w:sz w:val="22"/>
          <w:szCs w:val="22"/>
        </w:rPr>
        <w:t>nje poslova iz nadležnosti UIO.</w:t>
      </w:r>
      <w:r w:rsidR="00C4506D">
        <w:rPr>
          <w:sz w:val="22"/>
          <w:szCs w:val="22"/>
        </w:rPr>
        <w:t xml:space="preserve"> </w:t>
      </w:r>
    </w:p>
    <w:p w14:paraId="178BA994" w14:textId="77777777" w:rsidR="00BB434B" w:rsidRPr="00512BE3" w:rsidRDefault="00BB434B" w:rsidP="00BB434B">
      <w:pPr>
        <w:pStyle w:val="ListParagraph"/>
        <w:numPr>
          <w:ilvl w:val="0"/>
          <w:numId w:val="17"/>
        </w:numPr>
        <w:spacing w:after="40"/>
        <w:contextualSpacing w:val="0"/>
        <w:jc w:val="both"/>
        <w:rPr>
          <w:sz w:val="22"/>
          <w:szCs w:val="22"/>
        </w:rPr>
      </w:pPr>
      <w:r w:rsidRPr="00512BE3">
        <w:rPr>
          <w:rFonts w:eastAsia="Calibri"/>
          <w:sz w:val="22"/>
          <w:szCs w:val="22"/>
          <w:lang w:val="sr-Latn-BA" w:eastAsia="en-US"/>
        </w:rPr>
        <w:t>Nedostatak radnog i arhivskog prostora, posebno u objektima koje koristi Sre</w:t>
      </w:r>
      <w:r w:rsidR="0066761D" w:rsidRPr="00512BE3">
        <w:rPr>
          <w:rFonts w:eastAsia="Calibri"/>
          <w:sz w:val="22"/>
          <w:szCs w:val="22"/>
          <w:lang w:val="sr-Latn-BA" w:eastAsia="en-US"/>
        </w:rPr>
        <w:t>dišnji ured UIO i RC Banja Luka.</w:t>
      </w:r>
    </w:p>
    <w:p w14:paraId="63F54E68" w14:textId="104497E2" w:rsidR="00CD7304" w:rsidRPr="00512BE3" w:rsidRDefault="00CD7304" w:rsidP="008E3602">
      <w:pPr>
        <w:pStyle w:val="ListParagraph"/>
        <w:numPr>
          <w:ilvl w:val="0"/>
          <w:numId w:val="17"/>
        </w:numPr>
        <w:spacing w:after="40"/>
        <w:contextualSpacing w:val="0"/>
        <w:jc w:val="both"/>
        <w:rPr>
          <w:sz w:val="22"/>
          <w:szCs w:val="22"/>
        </w:rPr>
      </w:pPr>
      <w:r w:rsidRPr="00512BE3">
        <w:rPr>
          <w:sz w:val="22"/>
          <w:szCs w:val="22"/>
        </w:rPr>
        <w:t>Informatička oprema n</w:t>
      </w:r>
      <w:r w:rsidR="0066761D" w:rsidRPr="00512BE3">
        <w:rPr>
          <w:sz w:val="22"/>
          <w:szCs w:val="22"/>
        </w:rPr>
        <w:t>ema zadovoljavajuće performanse.</w:t>
      </w:r>
    </w:p>
    <w:p w14:paraId="54CDDC19" w14:textId="77777777" w:rsidR="00CD7304" w:rsidRPr="00512BE3" w:rsidRDefault="00CD7304" w:rsidP="008E3602">
      <w:pPr>
        <w:pStyle w:val="ListParagraph"/>
        <w:numPr>
          <w:ilvl w:val="0"/>
          <w:numId w:val="17"/>
        </w:numPr>
        <w:spacing w:after="40"/>
        <w:contextualSpacing w:val="0"/>
        <w:jc w:val="both"/>
        <w:rPr>
          <w:sz w:val="22"/>
          <w:szCs w:val="22"/>
        </w:rPr>
      </w:pPr>
      <w:r w:rsidRPr="00512BE3">
        <w:rPr>
          <w:sz w:val="22"/>
          <w:szCs w:val="22"/>
        </w:rPr>
        <w:t>Veći broj službenih vozila je s obzirom na godinu proizvodnje i veliku pređenu kilometražu upitne tehničke ispravnosti, te je nedovol</w:t>
      </w:r>
      <w:r w:rsidR="0066761D" w:rsidRPr="00512BE3">
        <w:rPr>
          <w:sz w:val="22"/>
          <w:szCs w:val="22"/>
        </w:rPr>
        <w:t>jan broj vozila za terenski rad.</w:t>
      </w:r>
    </w:p>
    <w:p w14:paraId="78818FA2" w14:textId="76C0827E" w:rsidR="00CD7304" w:rsidRPr="00512BE3" w:rsidRDefault="000C6E2E" w:rsidP="008E3602">
      <w:pPr>
        <w:pStyle w:val="ListParagraph"/>
        <w:numPr>
          <w:ilvl w:val="0"/>
          <w:numId w:val="17"/>
        </w:numPr>
        <w:spacing w:after="40"/>
        <w:contextualSpacing w:val="0"/>
        <w:jc w:val="both"/>
        <w:rPr>
          <w:rFonts w:eastAsia="Calibri"/>
          <w:sz w:val="22"/>
          <w:lang w:eastAsia="en-US"/>
        </w:rPr>
      </w:pPr>
      <w:r w:rsidRPr="00512BE3">
        <w:rPr>
          <w:rFonts w:eastAsia="Calibri"/>
          <w:sz w:val="22"/>
          <w:lang w:val="sr-Latn-BA" w:eastAsia="en-US"/>
        </w:rPr>
        <w:t>N</w:t>
      </w:r>
      <w:r w:rsidR="00CD7304" w:rsidRPr="00512BE3">
        <w:rPr>
          <w:rFonts w:eastAsia="Calibri"/>
          <w:sz w:val="22"/>
          <w:lang w:val="sr-Latn-BA" w:eastAsia="en-US"/>
        </w:rPr>
        <w:t>edostatak adekvatne finansijske motivacije za rad, niske plate u odnosu na složenost poslova koje zaposleni u UIO obavljaju</w:t>
      </w:r>
      <w:r w:rsidR="00894EA8">
        <w:rPr>
          <w:rFonts w:eastAsia="Calibri"/>
          <w:sz w:val="22"/>
          <w:lang w:val="sr-Latn-BA" w:eastAsia="en-US"/>
        </w:rPr>
        <w:t>, kao i u odnosu na narasle troškove života usljed poskupljenja i inflcije</w:t>
      </w:r>
      <w:r w:rsidR="00CD7304" w:rsidRPr="00512BE3">
        <w:rPr>
          <w:rFonts w:eastAsia="Calibri"/>
          <w:sz w:val="22"/>
          <w:lang w:val="sr-Latn-BA" w:eastAsia="en-US"/>
        </w:rPr>
        <w:t>. U tom smislu je p</w:t>
      </w:r>
      <w:r w:rsidR="00CD7304" w:rsidRPr="00512BE3">
        <w:rPr>
          <w:rFonts w:eastAsia="Calibri"/>
          <w:sz w:val="22"/>
          <w:lang w:eastAsia="en-US"/>
        </w:rPr>
        <w:t>risutno nezadovoljstvo zaposlenih i istovremeno je prisutna nemogućnost internog premještaja radi popune pojedinih radnih mjesta kada to zahtijeva obim poslova, npr.premještaj ovlaštenog službenog lica na radno mjesto istog nivoa na kojem izvršilac nema pravo na dodatak na platu po osnovu ovlaštenja prisutna je opstrukcija od strane premještenog službenika kroz odsustvo sa rada zbog bolovanja, pri čemu UIO nema adekvatne mehanizme za provjeru opravdanosti bolovanja, odnosno i u slučaju izvršenih provjera odsustva premještenog službenika sa posla zbog bolovanja nismo imali razum</w:t>
      </w:r>
      <w:r w:rsidR="0066761D" w:rsidRPr="00512BE3">
        <w:rPr>
          <w:rFonts w:eastAsia="Calibri"/>
          <w:sz w:val="22"/>
          <w:lang w:eastAsia="en-US"/>
        </w:rPr>
        <w:t>ijevanje zdravstvenih ustanova.</w:t>
      </w:r>
    </w:p>
    <w:p w14:paraId="1D7030EA" w14:textId="6C3D1AE4" w:rsidR="00BB434B" w:rsidRPr="00512BE3" w:rsidRDefault="00D930AF" w:rsidP="00BB434B">
      <w:pPr>
        <w:pStyle w:val="ListParagraph"/>
        <w:numPr>
          <w:ilvl w:val="0"/>
          <w:numId w:val="17"/>
        </w:numPr>
        <w:spacing w:after="40"/>
        <w:contextualSpacing w:val="0"/>
        <w:jc w:val="both"/>
        <w:rPr>
          <w:bCs/>
          <w:iCs/>
          <w:sz w:val="22"/>
          <w:szCs w:val="22"/>
          <w:lang w:val="bs-Latn-BA"/>
        </w:rPr>
      </w:pPr>
      <w:r w:rsidRPr="00512BE3">
        <w:rPr>
          <w:rFonts w:eastAsia="Calibri"/>
          <w:sz w:val="22"/>
          <w:lang w:val="sr-Latn-BA" w:eastAsia="en-US"/>
        </w:rPr>
        <w:t>N</w:t>
      </w:r>
      <w:r w:rsidR="00CD7304" w:rsidRPr="00512BE3">
        <w:rPr>
          <w:rFonts w:eastAsia="Calibri"/>
          <w:sz w:val="22"/>
          <w:lang w:val="sr-Latn-BA" w:eastAsia="en-US"/>
        </w:rPr>
        <w:t xml:space="preserve">eadekvatna opremljenost graničnih prelaza i carinskih terminala </w:t>
      </w:r>
      <w:r w:rsidR="00894EA8">
        <w:rPr>
          <w:rFonts w:eastAsia="Calibri"/>
          <w:sz w:val="22"/>
          <w:lang w:val="sr-Latn-BA" w:eastAsia="en-US"/>
        </w:rPr>
        <w:t>usljed nedostatka finansijskih sredstava;</w:t>
      </w:r>
    </w:p>
    <w:p w14:paraId="74114C9C" w14:textId="3E1052DC" w:rsidR="00BB434B" w:rsidRDefault="00BB434B" w:rsidP="00BB434B">
      <w:pPr>
        <w:pStyle w:val="ListParagraph"/>
        <w:numPr>
          <w:ilvl w:val="0"/>
          <w:numId w:val="17"/>
        </w:numPr>
        <w:spacing w:after="40"/>
        <w:contextualSpacing w:val="0"/>
        <w:jc w:val="both"/>
        <w:rPr>
          <w:bCs/>
          <w:iCs/>
          <w:sz w:val="22"/>
          <w:szCs w:val="22"/>
          <w:lang w:val="bs-Latn-BA"/>
        </w:rPr>
      </w:pPr>
      <w:r w:rsidRPr="00512BE3">
        <w:rPr>
          <w:bCs/>
          <w:iCs/>
          <w:sz w:val="22"/>
          <w:szCs w:val="22"/>
          <w:lang w:val="bs-Latn-BA"/>
        </w:rPr>
        <w:t xml:space="preserve">Nedovoljno finansijskih sredstava za provođenje stručne edukacije zaposlenih UIO i obveznika indirektnih poreza. </w:t>
      </w:r>
    </w:p>
    <w:p w14:paraId="1347A4C1" w14:textId="63469833" w:rsidR="00894EA8" w:rsidRDefault="00894EA8" w:rsidP="00894EA8">
      <w:pPr>
        <w:pStyle w:val="ListParagraph"/>
        <w:spacing w:after="40"/>
        <w:contextualSpacing w:val="0"/>
        <w:jc w:val="both"/>
        <w:rPr>
          <w:bCs/>
          <w:iCs/>
          <w:sz w:val="22"/>
          <w:szCs w:val="22"/>
          <w:lang w:val="bs-Latn-BA"/>
        </w:rPr>
      </w:pPr>
    </w:p>
    <w:p w14:paraId="2649C0B5" w14:textId="77777777" w:rsidR="00894EA8" w:rsidRPr="00512BE3" w:rsidRDefault="00894EA8" w:rsidP="00894EA8">
      <w:pPr>
        <w:pStyle w:val="ListParagraph"/>
        <w:spacing w:after="40"/>
        <w:contextualSpacing w:val="0"/>
        <w:jc w:val="both"/>
        <w:rPr>
          <w:bCs/>
          <w:iCs/>
          <w:sz w:val="22"/>
          <w:szCs w:val="22"/>
          <w:lang w:val="bs-Latn-BA"/>
        </w:rPr>
      </w:pPr>
    </w:p>
    <w:p w14:paraId="56B4E113" w14:textId="77777777" w:rsidR="00955F04" w:rsidRPr="00512BE3" w:rsidRDefault="00CF6A75" w:rsidP="00CF6A75">
      <w:pPr>
        <w:pStyle w:val="ListParagraph"/>
        <w:numPr>
          <w:ilvl w:val="0"/>
          <w:numId w:val="23"/>
        </w:numPr>
        <w:spacing w:after="40"/>
        <w:jc w:val="both"/>
        <w:rPr>
          <w:rFonts w:eastAsia="Calibri"/>
          <w:b/>
          <w:i/>
          <w:sz w:val="22"/>
          <w:szCs w:val="22"/>
          <w:lang w:val="sr-Latn-BA" w:eastAsia="en-US"/>
        </w:rPr>
      </w:pPr>
      <w:r w:rsidRPr="00512BE3">
        <w:rPr>
          <w:rFonts w:eastAsia="Calibri"/>
          <w:b/>
          <w:i/>
          <w:sz w:val="22"/>
          <w:szCs w:val="22"/>
          <w:lang w:val="sr-Latn-BA" w:eastAsia="en-US"/>
        </w:rPr>
        <w:t>Vanjski rizici kao prijetnja funkcionis</w:t>
      </w:r>
      <w:r w:rsidR="00424AC6" w:rsidRPr="00512BE3">
        <w:rPr>
          <w:rFonts w:eastAsia="Calibri"/>
          <w:b/>
          <w:i/>
          <w:sz w:val="22"/>
          <w:szCs w:val="22"/>
          <w:lang w:val="sr-Latn-BA" w:eastAsia="en-US"/>
        </w:rPr>
        <w:t>a</w:t>
      </w:r>
      <w:r w:rsidRPr="00512BE3">
        <w:rPr>
          <w:rFonts w:eastAsia="Calibri"/>
          <w:b/>
          <w:i/>
          <w:sz w:val="22"/>
          <w:szCs w:val="22"/>
          <w:lang w:val="sr-Latn-BA" w:eastAsia="en-US"/>
        </w:rPr>
        <w:t>nju UIO</w:t>
      </w:r>
    </w:p>
    <w:p w14:paraId="43B50350" w14:textId="38098F0F" w:rsidR="00E67D98" w:rsidRPr="00512BE3" w:rsidRDefault="00CA4D8E" w:rsidP="00DA34CB">
      <w:pPr>
        <w:pStyle w:val="ListParagraph"/>
        <w:numPr>
          <w:ilvl w:val="0"/>
          <w:numId w:val="17"/>
        </w:numPr>
        <w:jc w:val="both"/>
        <w:rPr>
          <w:sz w:val="22"/>
          <w:szCs w:val="22"/>
          <w:lang w:val="en-US"/>
        </w:rPr>
      </w:pPr>
      <w:r w:rsidRPr="00512BE3">
        <w:rPr>
          <w:sz w:val="22"/>
          <w:szCs w:val="22"/>
          <w:lang w:val="en-US"/>
        </w:rPr>
        <w:t xml:space="preserve">Nezainteresovanost nadležnih organa </w:t>
      </w:r>
      <w:r w:rsidR="00821236" w:rsidRPr="00512BE3">
        <w:rPr>
          <w:sz w:val="22"/>
          <w:szCs w:val="22"/>
          <w:lang w:val="en-US"/>
        </w:rPr>
        <w:t>za</w:t>
      </w:r>
      <w:r w:rsidRPr="00512BE3">
        <w:rPr>
          <w:sz w:val="22"/>
          <w:szCs w:val="22"/>
          <w:lang w:val="en-US"/>
        </w:rPr>
        <w:t xml:space="preserve"> stanj</w:t>
      </w:r>
      <w:r w:rsidR="00821236" w:rsidRPr="00512BE3">
        <w:rPr>
          <w:sz w:val="22"/>
          <w:szCs w:val="22"/>
          <w:lang w:val="en-US"/>
        </w:rPr>
        <w:t>e</w:t>
      </w:r>
      <w:r w:rsidRPr="00512BE3">
        <w:rPr>
          <w:sz w:val="22"/>
          <w:szCs w:val="22"/>
          <w:lang w:val="en-US"/>
        </w:rPr>
        <w:t xml:space="preserve"> ljudskih resursa u UIO i o</w:t>
      </w:r>
      <w:r w:rsidR="00DA34CB" w:rsidRPr="00512BE3">
        <w:rPr>
          <w:sz w:val="22"/>
          <w:szCs w:val="22"/>
          <w:lang w:val="en-US"/>
        </w:rPr>
        <w:t>nemoguć</w:t>
      </w:r>
      <w:r w:rsidRPr="00512BE3">
        <w:rPr>
          <w:sz w:val="22"/>
          <w:szCs w:val="22"/>
          <w:lang w:val="en-US"/>
        </w:rPr>
        <w:t>avanje</w:t>
      </w:r>
      <w:r w:rsidR="00DA34CB" w:rsidRPr="00512BE3">
        <w:rPr>
          <w:sz w:val="22"/>
          <w:szCs w:val="22"/>
          <w:lang w:val="en-US"/>
        </w:rPr>
        <w:t xml:space="preserve"> dodatno</w:t>
      </w:r>
      <w:r w:rsidRPr="00512BE3">
        <w:rPr>
          <w:sz w:val="22"/>
          <w:szCs w:val="22"/>
          <w:lang w:val="en-US"/>
        </w:rPr>
        <w:t>g</w:t>
      </w:r>
      <w:r w:rsidR="00DA34CB" w:rsidRPr="00512BE3">
        <w:rPr>
          <w:sz w:val="22"/>
          <w:szCs w:val="22"/>
          <w:lang w:val="en-US"/>
        </w:rPr>
        <w:t xml:space="preserve"> zapošljavanj</w:t>
      </w:r>
      <w:r w:rsidRPr="00512BE3">
        <w:rPr>
          <w:sz w:val="22"/>
          <w:szCs w:val="22"/>
          <w:lang w:val="en-US"/>
        </w:rPr>
        <w:t>a</w:t>
      </w:r>
      <w:r w:rsidR="00DA34CB" w:rsidRPr="00512BE3">
        <w:rPr>
          <w:sz w:val="22"/>
          <w:szCs w:val="22"/>
          <w:lang w:val="en-US"/>
        </w:rPr>
        <w:t xml:space="preserve"> </w:t>
      </w:r>
      <w:r w:rsidRPr="00512BE3">
        <w:rPr>
          <w:sz w:val="22"/>
          <w:szCs w:val="22"/>
          <w:lang w:val="en-US"/>
        </w:rPr>
        <w:t xml:space="preserve">i pored činjenice da UIO ima ozbiljan problem sa organizovanjem rada usljed nedostatka izvršilaca. </w:t>
      </w:r>
      <w:r w:rsidR="00167A27" w:rsidRPr="00512BE3">
        <w:rPr>
          <w:sz w:val="22"/>
          <w:szCs w:val="22"/>
          <w:lang w:val="en-US"/>
        </w:rPr>
        <w:t xml:space="preserve">Provedena analiza starosne strukture </w:t>
      </w:r>
      <w:r w:rsidR="00821236" w:rsidRPr="00512BE3">
        <w:rPr>
          <w:sz w:val="22"/>
          <w:szCs w:val="22"/>
          <w:lang w:val="en-US"/>
        </w:rPr>
        <w:t xml:space="preserve">zaposlenih </w:t>
      </w:r>
      <w:r w:rsidR="00167A27" w:rsidRPr="00512BE3">
        <w:rPr>
          <w:sz w:val="22"/>
          <w:szCs w:val="22"/>
          <w:lang w:val="en-US"/>
        </w:rPr>
        <w:t xml:space="preserve">u UIO </w:t>
      </w:r>
      <w:r w:rsidR="00821236" w:rsidRPr="00512BE3">
        <w:rPr>
          <w:sz w:val="22"/>
          <w:szCs w:val="22"/>
          <w:lang w:val="en-US"/>
        </w:rPr>
        <w:t>pokazuje da od</w:t>
      </w:r>
      <w:r w:rsidR="00167A27" w:rsidRPr="00512BE3">
        <w:rPr>
          <w:sz w:val="22"/>
          <w:szCs w:val="22"/>
          <w:lang w:val="en-US"/>
        </w:rPr>
        <w:t xml:space="preserve"> </w:t>
      </w:r>
      <w:r w:rsidR="00821236" w:rsidRPr="00512BE3">
        <w:rPr>
          <w:sz w:val="22"/>
          <w:szCs w:val="22"/>
          <w:lang w:val="en-US"/>
        </w:rPr>
        <w:t xml:space="preserve">ukupnog broja </w:t>
      </w:r>
      <w:r w:rsidR="00607F42" w:rsidRPr="00512BE3">
        <w:rPr>
          <w:sz w:val="22"/>
          <w:szCs w:val="22"/>
          <w:lang w:val="en-US"/>
        </w:rPr>
        <w:t>zaposlenih iz</w:t>
      </w:r>
      <w:r w:rsidR="00821236" w:rsidRPr="00512BE3">
        <w:rPr>
          <w:sz w:val="22"/>
          <w:szCs w:val="22"/>
          <w:lang w:val="en-US"/>
        </w:rPr>
        <w:t xml:space="preserve">vršilaca </w:t>
      </w:r>
      <w:r w:rsidR="00167A27" w:rsidRPr="00512BE3">
        <w:rPr>
          <w:sz w:val="22"/>
          <w:szCs w:val="22"/>
          <w:lang w:val="en-US"/>
        </w:rPr>
        <w:t>44</w:t>
      </w:r>
      <w:r w:rsidR="00821236" w:rsidRPr="00512BE3">
        <w:rPr>
          <w:sz w:val="22"/>
          <w:szCs w:val="22"/>
          <w:lang w:val="en-US"/>
        </w:rPr>
        <w:t>% zaposlen</w:t>
      </w:r>
      <w:r w:rsidR="00607F42" w:rsidRPr="00512BE3">
        <w:rPr>
          <w:sz w:val="22"/>
          <w:szCs w:val="22"/>
          <w:lang w:val="en-US"/>
        </w:rPr>
        <w:t xml:space="preserve">ih su starosti </w:t>
      </w:r>
      <w:r w:rsidR="00167A27" w:rsidRPr="00512BE3">
        <w:rPr>
          <w:sz w:val="22"/>
          <w:szCs w:val="22"/>
          <w:lang w:val="en-US"/>
        </w:rPr>
        <w:t xml:space="preserve">50 i više godina; da </w:t>
      </w:r>
      <w:r w:rsidR="00607F42" w:rsidRPr="00512BE3">
        <w:rPr>
          <w:sz w:val="22"/>
          <w:szCs w:val="22"/>
          <w:lang w:val="en-US"/>
        </w:rPr>
        <w:t xml:space="preserve">podaci pokazuju da u nekoliko zadnjih godina poslovanja UIO svake godine </w:t>
      </w:r>
      <w:r w:rsidR="00167A27" w:rsidRPr="00512BE3">
        <w:rPr>
          <w:sz w:val="22"/>
          <w:szCs w:val="22"/>
          <w:lang w:val="en-US"/>
        </w:rPr>
        <w:t>ostane</w:t>
      </w:r>
      <w:r w:rsidR="00607F42" w:rsidRPr="00512BE3">
        <w:rPr>
          <w:sz w:val="22"/>
          <w:szCs w:val="22"/>
          <w:lang w:val="en-US"/>
        </w:rPr>
        <w:t xml:space="preserve"> bez </w:t>
      </w:r>
      <w:r w:rsidR="00894EA8">
        <w:rPr>
          <w:sz w:val="22"/>
          <w:szCs w:val="22"/>
          <w:lang w:val="en-US"/>
        </w:rPr>
        <w:t>više od</w:t>
      </w:r>
      <w:r w:rsidR="00607F42" w:rsidRPr="00512BE3">
        <w:rPr>
          <w:sz w:val="22"/>
          <w:szCs w:val="22"/>
          <w:lang w:val="en-US"/>
        </w:rPr>
        <w:t xml:space="preserve"> </w:t>
      </w:r>
      <w:r w:rsidR="00167A27" w:rsidRPr="00512BE3">
        <w:rPr>
          <w:sz w:val="22"/>
          <w:szCs w:val="22"/>
          <w:lang w:val="en-US"/>
        </w:rPr>
        <w:t xml:space="preserve">100 zaposlenih kojima </w:t>
      </w:r>
      <w:r w:rsidR="00607F42" w:rsidRPr="00512BE3">
        <w:rPr>
          <w:sz w:val="22"/>
          <w:szCs w:val="22"/>
          <w:lang w:val="en-US"/>
        </w:rPr>
        <w:t xml:space="preserve">je </w:t>
      </w:r>
      <w:r w:rsidR="00167A27" w:rsidRPr="00512BE3">
        <w:rPr>
          <w:sz w:val="22"/>
          <w:szCs w:val="22"/>
          <w:lang w:val="en-US"/>
        </w:rPr>
        <w:t>radni odnos presta</w:t>
      </w:r>
      <w:r w:rsidR="00D5727A" w:rsidRPr="00512BE3">
        <w:rPr>
          <w:sz w:val="22"/>
          <w:szCs w:val="22"/>
          <w:lang w:val="en-US"/>
        </w:rPr>
        <w:t>o</w:t>
      </w:r>
      <w:r w:rsidR="00167A27" w:rsidRPr="00512BE3">
        <w:rPr>
          <w:sz w:val="22"/>
          <w:szCs w:val="22"/>
          <w:lang w:val="en-US"/>
        </w:rPr>
        <w:t xml:space="preserve"> po različitim osnovama (penzionisanje; sporazumni prekid radnog odnosa; smrt zaposlenog i dr.)</w:t>
      </w:r>
      <w:r w:rsidR="001A2DBA">
        <w:rPr>
          <w:sz w:val="22"/>
          <w:szCs w:val="22"/>
          <w:lang w:val="en-US"/>
        </w:rPr>
        <w:t>.</w:t>
      </w:r>
      <w:r w:rsidR="00167A27" w:rsidRPr="00512BE3">
        <w:rPr>
          <w:sz w:val="22"/>
          <w:szCs w:val="22"/>
          <w:lang w:val="en-US"/>
        </w:rPr>
        <w:t xml:space="preserve"> S obzirom da su poslovi u oblasti indirektnog oporezivanja vrlo složeni i zahtijevaju duži vremenski period za edukaciju i osposobljavanje zaposlenog za samostalan rad to nedostatak izvršilaca u određenim segmentima rada UIO predstavlja vrlo ozbiljan problem koji će u budućnosti eskalirati</w:t>
      </w:r>
      <w:r w:rsidR="00607F42" w:rsidRPr="00512BE3">
        <w:rPr>
          <w:sz w:val="22"/>
          <w:szCs w:val="22"/>
          <w:lang w:val="en-US"/>
        </w:rPr>
        <w:t xml:space="preserve"> i dovesti do situacije da UIO neće imati kvalifikovane </w:t>
      </w:r>
      <w:r w:rsidR="0066761D" w:rsidRPr="00512BE3">
        <w:rPr>
          <w:sz w:val="22"/>
          <w:szCs w:val="22"/>
          <w:lang w:val="en-US"/>
        </w:rPr>
        <w:t>i</w:t>
      </w:r>
      <w:r w:rsidR="00607F42" w:rsidRPr="00512BE3">
        <w:rPr>
          <w:sz w:val="22"/>
          <w:szCs w:val="22"/>
          <w:lang w:val="en-US"/>
        </w:rPr>
        <w:t xml:space="preserve"> stručne izvršioce posebno za obavljanje poslova koji zahtijevaju </w:t>
      </w:r>
      <w:r w:rsidR="00607F42" w:rsidRPr="00512BE3">
        <w:rPr>
          <w:sz w:val="22"/>
          <w:szCs w:val="22"/>
          <w:lang w:val="en-US"/>
        </w:rPr>
        <w:lastRenderedPageBreak/>
        <w:t xml:space="preserve">stručne i specijalističke obuke kao što su poslovi carinske tarife, kontrole indirektnih poreza </w:t>
      </w:r>
      <w:r w:rsidR="005671E0" w:rsidRPr="00512BE3">
        <w:rPr>
          <w:sz w:val="22"/>
          <w:szCs w:val="22"/>
          <w:lang w:val="en-US"/>
        </w:rPr>
        <w:t>i</w:t>
      </w:r>
      <w:r w:rsidR="00607F42" w:rsidRPr="00512BE3">
        <w:rPr>
          <w:sz w:val="22"/>
          <w:szCs w:val="22"/>
          <w:lang w:val="en-US"/>
        </w:rPr>
        <w:t xml:space="preserve"> dr</w:t>
      </w:r>
      <w:r w:rsidR="005671E0" w:rsidRPr="00512BE3">
        <w:rPr>
          <w:sz w:val="22"/>
          <w:szCs w:val="22"/>
          <w:lang w:val="en-US"/>
        </w:rPr>
        <w:t>uge složene poslove.</w:t>
      </w:r>
      <w:r w:rsidR="00607F42" w:rsidRPr="00512BE3">
        <w:rPr>
          <w:sz w:val="22"/>
          <w:szCs w:val="22"/>
          <w:lang w:val="en-US"/>
        </w:rPr>
        <w:t xml:space="preserve"> </w:t>
      </w:r>
      <w:r w:rsidR="00167A27" w:rsidRPr="00512BE3">
        <w:rPr>
          <w:sz w:val="22"/>
          <w:szCs w:val="22"/>
          <w:lang w:val="en-US"/>
        </w:rPr>
        <w:t xml:space="preserve"> </w:t>
      </w:r>
    </w:p>
    <w:p w14:paraId="124CF0E7" w14:textId="77777777" w:rsidR="00167A27" w:rsidRPr="00512BE3" w:rsidRDefault="005671E0" w:rsidP="00DA34CB">
      <w:pPr>
        <w:pStyle w:val="ListParagraph"/>
        <w:numPr>
          <w:ilvl w:val="0"/>
          <w:numId w:val="17"/>
        </w:numPr>
        <w:jc w:val="both"/>
        <w:rPr>
          <w:sz w:val="22"/>
          <w:szCs w:val="22"/>
          <w:lang w:val="en-US"/>
        </w:rPr>
      </w:pPr>
      <w:r w:rsidRPr="00512BE3">
        <w:rPr>
          <w:sz w:val="22"/>
          <w:szCs w:val="22"/>
          <w:lang w:val="en-US"/>
        </w:rPr>
        <w:t xml:space="preserve">Inertnost nadležnih organa u odnosu na </w:t>
      </w:r>
      <w:r w:rsidR="00BE3C16" w:rsidRPr="00512BE3">
        <w:rPr>
          <w:sz w:val="22"/>
          <w:szCs w:val="22"/>
          <w:lang w:val="en-US"/>
        </w:rPr>
        <w:t>opšte nezadovoljstvo zap</w:t>
      </w:r>
      <w:r w:rsidR="00167A27" w:rsidRPr="00512BE3">
        <w:rPr>
          <w:sz w:val="22"/>
          <w:szCs w:val="22"/>
          <w:lang w:val="en-US"/>
        </w:rPr>
        <w:t xml:space="preserve">oslenih u UIO </w:t>
      </w:r>
      <w:r w:rsidRPr="00512BE3">
        <w:rPr>
          <w:sz w:val="22"/>
          <w:szCs w:val="22"/>
          <w:lang w:val="en-US"/>
        </w:rPr>
        <w:t xml:space="preserve">zbog niskih plata i ukupnih finansijskih primanja, posebno u odnosu na </w:t>
      </w:r>
      <w:r w:rsidR="00167A27" w:rsidRPr="00512BE3">
        <w:rPr>
          <w:sz w:val="22"/>
          <w:szCs w:val="22"/>
          <w:lang w:val="en-US"/>
        </w:rPr>
        <w:t xml:space="preserve"> plate koje ostvaruju zaposleni u entitetskim organima</w:t>
      </w:r>
      <w:r w:rsidR="0070239C" w:rsidRPr="00512BE3">
        <w:rPr>
          <w:sz w:val="22"/>
          <w:szCs w:val="22"/>
          <w:lang w:val="en-US"/>
        </w:rPr>
        <w:t xml:space="preserve">, </w:t>
      </w:r>
      <w:r w:rsidRPr="00512BE3">
        <w:rPr>
          <w:sz w:val="22"/>
          <w:szCs w:val="22"/>
          <w:lang w:val="en-US"/>
        </w:rPr>
        <w:t>ovaj problem</w:t>
      </w:r>
      <w:r w:rsidR="00167A27" w:rsidRPr="00512BE3">
        <w:rPr>
          <w:sz w:val="22"/>
          <w:szCs w:val="22"/>
          <w:lang w:val="en-US"/>
        </w:rPr>
        <w:t xml:space="preserve"> dodatno optereć</w:t>
      </w:r>
      <w:r w:rsidRPr="00512BE3">
        <w:rPr>
          <w:sz w:val="22"/>
          <w:szCs w:val="22"/>
          <w:lang w:val="en-US"/>
        </w:rPr>
        <w:t>uje</w:t>
      </w:r>
      <w:r w:rsidR="00167A27" w:rsidRPr="00512BE3">
        <w:rPr>
          <w:sz w:val="22"/>
          <w:szCs w:val="22"/>
          <w:lang w:val="en-US"/>
        </w:rPr>
        <w:t xml:space="preserve"> UIO u smislu zadržavanja </w:t>
      </w:r>
      <w:r w:rsidR="0066761D" w:rsidRPr="00512BE3">
        <w:rPr>
          <w:sz w:val="22"/>
          <w:szCs w:val="22"/>
          <w:lang w:val="en-US"/>
        </w:rPr>
        <w:t>stručnog kadra.</w:t>
      </w:r>
    </w:p>
    <w:p w14:paraId="459CDC89" w14:textId="4E69F312" w:rsidR="007B6CB6" w:rsidRPr="0082348B" w:rsidRDefault="00821236" w:rsidP="0082348B">
      <w:pPr>
        <w:pStyle w:val="ListParagraph"/>
        <w:numPr>
          <w:ilvl w:val="0"/>
          <w:numId w:val="17"/>
        </w:numPr>
        <w:rPr>
          <w:sz w:val="22"/>
          <w:szCs w:val="22"/>
        </w:rPr>
      </w:pPr>
      <w:r w:rsidRPr="00512BE3">
        <w:rPr>
          <w:sz w:val="22"/>
          <w:szCs w:val="22"/>
        </w:rPr>
        <w:t>Neblagovremeno usvajanje budžeta za funkcionisanje UIO što se negativno odražava kako na obezbjeđivanje uslova rada, tako i na zaustavljanje reformskih procesa u UIO (nemogućnost planske realizacije projekata javnih investicija, aplikativnih softvera, nabavke i održavanja objekata i opreme i dr.)</w:t>
      </w:r>
      <w:r w:rsidR="0066761D" w:rsidRPr="00512BE3">
        <w:rPr>
          <w:sz w:val="22"/>
          <w:szCs w:val="22"/>
        </w:rPr>
        <w:t>.</w:t>
      </w:r>
    </w:p>
    <w:p w14:paraId="465C29E3" w14:textId="77777777" w:rsidR="007B6CB6" w:rsidRPr="00512BE3" w:rsidRDefault="007B6CB6" w:rsidP="00EC0EBD">
      <w:pPr>
        <w:tabs>
          <w:tab w:val="left" w:pos="7335"/>
        </w:tabs>
        <w:rPr>
          <w:b/>
          <w:bCs/>
          <w:i/>
          <w:sz w:val="22"/>
          <w:szCs w:val="22"/>
          <w:lang w:val="sr-Latn-BA"/>
        </w:rPr>
      </w:pPr>
    </w:p>
    <w:p w14:paraId="38DBE139" w14:textId="77777777" w:rsidR="009C31AC" w:rsidRPr="00512BE3" w:rsidRDefault="0059051E" w:rsidP="002A26B6">
      <w:pPr>
        <w:tabs>
          <w:tab w:val="left" w:pos="7335"/>
        </w:tabs>
        <w:jc w:val="center"/>
        <w:rPr>
          <w:b/>
          <w:bCs/>
          <w:i/>
          <w:sz w:val="22"/>
          <w:szCs w:val="22"/>
          <w:lang w:val="sr-Latn-BA"/>
        </w:rPr>
      </w:pPr>
      <w:r w:rsidRPr="00512BE3">
        <w:rPr>
          <w:b/>
          <w:bCs/>
          <w:i/>
          <w:sz w:val="22"/>
          <w:szCs w:val="22"/>
          <w:lang w:val="sr-Latn-BA"/>
        </w:rPr>
        <w:t>ZAKLJUČAK</w:t>
      </w:r>
    </w:p>
    <w:p w14:paraId="665C200C" w14:textId="77777777" w:rsidR="00F70EA5" w:rsidRPr="00512BE3" w:rsidRDefault="00F70EA5" w:rsidP="002A26B6">
      <w:pPr>
        <w:tabs>
          <w:tab w:val="left" w:pos="7335"/>
        </w:tabs>
        <w:jc w:val="center"/>
        <w:rPr>
          <w:b/>
          <w:bCs/>
          <w:color w:val="FF0000"/>
          <w:sz w:val="22"/>
          <w:szCs w:val="22"/>
          <w:lang w:val="sr-Latn-BA"/>
        </w:rPr>
      </w:pPr>
    </w:p>
    <w:p w14:paraId="5EE2F9FB" w14:textId="47F4C5BD" w:rsidR="00A744ED" w:rsidRPr="00512BE3" w:rsidRDefault="00BB434B" w:rsidP="00894EA8">
      <w:pPr>
        <w:spacing w:after="80"/>
        <w:jc w:val="both"/>
        <w:rPr>
          <w:bCs/>
          <w:sz w:val="22"/>
          <w:szCs w:val="22"/>
          <w:lang w:val="sr-Latn-RS"/>
        </w:rPr>
      </w:pPr>
      <w:r w:rsidRPr="00512BE3">
        <w:rPr>
          <w:bCs/>
          <w:sz w:val="22"/>
          <w:szCs w:val="22"/>
          <w:lang w:val="sr-Latn-BA"/>
        </w:rPr>
        <w:t>Ostvareni r</w:t>
      </w:r>
      <w:r w:rsidR="00C9377D" w:rsidRPr="00512BE3">
        <w:rPr>
          <w:bCs/>
          <w:sz w:val="22"/>
          <w:szCs w:val="22"/>
          <w:lang w:val="sr-Latn-BA"/>
        </w:rPr>
        <w:t xml:space="preserve">ezultati u </w:t>
      </w:r>
      <w:r w:rsidR="003E2738" w:rsidRPr="00512BE3">
        <w:rPr>
          <w:bCs/>
          <w:sz w:val="22"/>
          <w:szCs w:val="22"/>
          <w:lang w:val="sr-Latn-BA"/>
        </w:rPr>
        <w:t>naplat</w:t>
      </w:r>
      <w:r w:rsidR="00C9377D" w:rsidRPr="00512BE3">
        <w:rPr>
          <w:bCs/>
          <w:sz w:val="22"/>
          <w:szCs w:val="22"/>
          <w:lang w:val="sr-Latn-BA"/>
        </w:rPr>
        <w:t>i</w:t>
      </w:r>
      <w:r w:rsidR="003E2738" w:rsidRPr="00512BE3">
        <w:rPr>
          <w:bCs/>
          <w:sz w:val="22"/>
          <w:szCs w:val="22"/>
          <w:lang w:val="sr-Latn-BA"/>
        </w:rPr>
        <w:t xml:space="preserve"> </w:t>
      </w:r>
      <w:r w:rsidR="00A744ED" w:rsidRPr="00512BE3">
        <w:rPr>
          <w:bCs/>
          <w:sz w:val="22"/>
          <w:szCs w:val="22"/>
          <w:lang w:val="sr-Latn-BA"/>
        </w:rPr>
        <w:t xml:space="preserve">prihoda od </w:t>
      </w:r>
      <w:r w:rsidR="008A4D86" w:rsidRPr="00512BE3">
        <w:rPr>
          <w:bCs/>
          <w:sz w:val="22"/>
          <w:szCs w:val="22"/>
          <w:lang w:val="sr-Latn-BA"/>
        </w:rPr>
        <w:t>indirekt</w:t>
      </w:r>
      <w:r w:rsidR="003E2738" w:rsidRPr="00512BE3">
        <w:rPr>
          <w:bCs/>
          <w:sz w:val="22"/>
          <w:szCs w:val="22"/>
          <w:lang w:val="sr-Latn-BA"/>
        </w:rPr>
        <w:t>nih poreza u iznosu od</w:t>
      </w:r>
      <w:r w:rsidR="00A744ED" w:rsidRPr="00512BE3">
        <w:rPr>
          <w:b/>
          <w:bCs/>
          <w:sz w:val="22"/>
          <w:szCs w:val="22"/>
          <w:lang w:val="sr-Latn-RS"/>
        </w:rPr>
        <w:t xml:space="preserve"> </w:t>
      </w:r>
      <w:r w:rsidR="00CA7D35" w:rsidRPr="00512BE3">
        <w:rPr>
          <w:sz w:val="22"/>
          <w:szCs w:val="22"/>
          <w:lang w:val="sr-Latn-RS"/>
        </w:rPr>
        <w:t>9</w:t>
      </w:r>
      <w:r w:rsidR="00A744ED" w:rsidRPr="00512BE3">
        <w:rPr>
          <w:bCs/>
          <w:sz w:val="22"/>
          <w:szCs w:val="22"/>
          <w:lang w:val="sr-Latn-RS"/>
        </w:rPr>
        <w:t xml:space="preserve"> milijardi i </w:t>
      </w:r>
      <w:r w:rsidR="00CA7D35" w:rsidRPr="00512BE3">
        <w:rPr>
          <w:bCs/>
          <w:sz w:val="22"/>
          <w:szCs w:val="22"/>
          <w:lang w:val="sr-Latn-RS"/>
        </w:rPr>
        <w:t>926</w:t>
      </w:r>
      <w:r w:rsidR="00A744ED" w:rsidRPr="00512BE3">
        <w:rPr>
          <w:bCs/>
          <w:sz w:val="22"/>
          <w:szCs w:val="22"/>
          <w:lang w:val="sr-Latn-RS"/>
        </w:rPr>
        <w:t xml:space="preserve"> miliona KM na Jedinstvenom računu predstavljaju potvrdu uspješnosti rada UIO u 202</w:t>
      </w:r>
      <w:r w:rsidR="00CA7D35" w:rsidRPr="00512BE3">
        <w:rPr>
          <w:bCs/>
          <w:sz w:val="22"/>
          <w:szCs w:val="22"/>
          <w:lang w:val="sr-Latn-RS"/>
        </w:rPr>
        <w:t>2</w:t>
      </w:r>
      <w:r w:rsidR="00A744ED" w:rsidRPr="00512BE3">
        <w:rPr>
          <w:bCs/>
          <w:sz w:val="22"/>
          <w:szCs w:val="22"/>
          <w:lang w:val="sr-Latn-RS"/>
        </w:rPr>
        <w:t xml:space="preserve">. godini i najviši iznos </w:t>
      </w:r>
      <w:r w:rsidR="009259F6" w:rsidRPr="00512BE3">
        <w:rPr>
          <w:bCs/>
          <w:sz w:val="22"/>
          <w:szCs w:val="22"/>
          <w:lang w:val="sr-Latn-RS"/>
        </w:rPr>
        <w:t xml:space="preserve">naplaćenih </w:t>
      </w:r>
      <w:r w:rsidR="00A744ED" w:rsidRPr="00512BE3">
        <w:rPr>
          <w:bCs/>
          <w:sz w:val="22"/>
          <w:szCs w:val="22"/>
          <w:lang w:val="sr-Latn-RS"/>
        </w:rPr>
        <w:t>prihoda od indirektnih poreza od uspostave UIO do danas.</w:t>
      </w:r>
    </w:p>
    <w:p w14:paraId="449CFF5B" w14:textId="5A81DA44" w:rsidR="00823474" w:rsidRPr="00512BE3" w:rsidRDefault="00A744ED" w:rsidP="00894EA8">
      <w:pPr>
        <w:spacing w:after="80"/>
        <w:jc w:val="both"/>
        <w:rPr>
          <w:bCs/>
          <w:sz w:val="22"/>
          <w:szCs w:val="22"/>
          <w:lang w:val="sr-Latn-BA"/>
        </w:rPr>
      </w:pPr>
      <w:r w:rsidRPr="00512BE3">
        <w:rPr>
          <w:bCs/>
          <w:sz w:val="22"/>
          <w:szCs w:val="22"/>
          <w:lang w:val="sr-Latn-RS"/>
        </w:rPr>
        <w:t>Naplaćeni prihodi indirektnih poreza u 202</w:t>
      </w:r>
      <w:r w:rsidR="00CA7D35" w:rsidRPr="00512BE3">
        <w:rPr>
          <w:bCs/>
          <w:sz w:val="22"/>
          <w:szCs w:val="22"/>
          <w:lang w:val="sr-Latn-RS"/>
        </w:rPr>
        <w:t>2</w:t>
      </w:r>
      <w:r w:rsidRPr="00512BE3">
        <w:rPr>
          <w:bCs/>
          <w:sz w:val="22"/>
          <w:szCs w:val="22"/>
          <w:lang w:val="sr-Latn-RS"/>
        </w:rPr>
        <w:t xml:space="preserve">. godini su za cca 1 milijardu i </w:t>
      </w:r>
      <w:r w:rsidR="00CA7D35" w:rsidRPr="00512BE3">
        <w:rPr>
          <w:bCs/>
          <w:sz w:val="22"/>
          <w:szCs w:val="22"/>
          <w:lang w:val="sr-Latn-RS"/>
        </w:rPr>
        <w:t>48</w:t>
      </w:r>
      <w:r w:rsidR="001A2DBA">
        <w:rPr>
          <w:bCs/>
          <w:sz w:val="22"/>
          <w:szCs w:val="22"/>
          <w:lang w:val="sr-Latn-RS"/>
        </w:rPr>
        <w:t>1</w:t>
      </w:r>
      <w:r w:rsidR="00CA7D35" w:rsidRPr="00512BE3">
        <w:rPr>
          <w:bCs/>
          <w:sz w:val="22"/>
          <w:szCs w:val="22"/>
          <w:lang w:val="sr-Latn-RS"/>
        </w:rPr>
        <w:t xml:space="preserve"> milion</w:t>
      </w:r>
      <w:r w:rsidRPr="00512BE3">
        <w:rPr>
          <w:bCs/>
          <w:sz w:val="22"/>
          <w:szCs w:val="22"/>
          <w:lang w:val="sr-Latn-RS"/>
        </w:rPr>
        <w:t xml:space="preserve"> KM ili </w:t>
      </w:r>
      <w:r w:rsidR="00CA7D35" w:rsidRPr="00512BE3">
        <w:rPr>
          <w:bCs/>
          <w:sz w:val="22"/>
          <w:szCs w:val="22"/>
          <w:lang w:val="sr-Latn-RS"/>
        </w:rPr>
        <w:t>17,53</w:t>
      </w:r>
      <w:r w:rsidRPr="00512BE3">
        <w:rPr>
          <w:bCs/>
          <w:sz w:val="22"/>
          <w:szCs w:val="22"/>
          <w:lang w:val="sr-Latn-RS"/>
        </w:rPr>
        <w:t>% v</w:t>
      </w:r>
      <w:r w:rsidR="00CA7D35" w:rsidRPr="00512BE3">
        <w:rPr>
          <w:bCs/>
          <w:sz w:val="22"/>
          <w:szCs w:val="22"/>
          <w:lang w:val="sr-Latn-RS"/>
        </w:rPr>
        <w:t>iši u odnosu na isti period 2021</w:t>
      </w:r>
      <w:r w:rsidRPr="00512BE3">
        <w:rPr>
          <w:bCs/>
          <w:sz w:val="22"/>
          <w:szCs w:val="22"/>
          <w:lang w:val="sr-Latn-RS"/>
        </w:rPr>
        <w:t>. godine</w:t>
      </w:r>
      <w:r w:rsidR="007B6CB6" w:rsidRPr="00512BE3">
        <w:rPr>
          <w:bCs/>
          <w:sz w:val="22"/>
          <w:szCs w:val="22"/>
          <w:lang w:val="sr-Latn-RS"/>
        </w:rPr>
        <w:t>, koja je takođe bila rekordna godina po ostvarenim prihodima</w:t>
      </w:r>
      <w:r w:rsidR="00CA7D35" w:rsidRPr="00512BE3">
        <w:rPr>
          <w:bCs/>
          <w:sz w:val="22"/>
          <w:szCs w:val="22"/>
          <w:lang w:val="sr-Latn-BA"/>
        </w:rPr>
        <w:t>.</w:t>
      </w:r>
      <w:r w:rsidR="008A4D86" w:rsidRPr="00512BE3">
        <w:rPr>
          <w:bCs/>
          <w:sz w:val="22"/>
          <w:szCs w:val="22"/>
          <w:lang w:val="sr-Latn-BA"/>
        </w:rPr>
        <w:t xml:space="preserve"> </w:t>
      </w:r>
    </w:p>
    <w:p w14:paraId="55FD127C" w14:textId="57FBE329" w:rsidR="005671E0" w:rsidRPr="00512BE3" w:rsidRDefault="00EC0EBD" w:rsidP="00894EA8">
      <w:pPr>
        <w:spacing w:after="80"/>
        <w:jc w:val="both"/>
        <w:rPr>
          <w:bCs/>
          <w:color w:val="FF0000"/>
          <w:sz w:val="22"/>
          <w:szCs w:val="22"/>
          <w:lang w:val="sr-Latn-BA"/>
        </w:rPr>
      </w:pPr>
      <w:r w:rsidRPr="00512BE3">
        <w:rPr>
          <w:bCs/>
          <w:sz w:val="22"/>
          <w:szCs w:val="22"/>
          <w:lang w:val="sr-Latn-BA"/>
        </w:rPr>
        <w:t>Izuzetni</w:t>
      </w:r>
      <w:r w:rsidR="005671E0" w:rsidRPr="00512BE3">
        <w:rPr>
          <w:bCs/>
          <w:sz w:val="22"/>
          <w:szCs w:val="22"/>
          <w:lang w:val="sr-Latn-BA"/>
        </w:rPr>
        <w:t xml:space="preserve"> rezultati ostvareni u naplati prihoda od indirektnih poreza u 202</w:t>
      </w:r>
      <w:r w:rsidR="00600B45">
        <w:rPr>
          <w:bCs/>
          <w:sz w:val="22"/>
          <w:szCs w:val="22"/>
          <w:lang w:val="sr-Latn-BA"/>
        </w:rPr>
        <w:t>2</w:t>
      </w:r>
      <w:r w:rsidR="005671E0" w:rsidRPr="00512BE3">
        <w:rPr>
          <w:bCs/>
          <w:sz w:val="22"/>
          <w:szCs w:val="22"/>
          <w:lang w:val="sr-Latn-BA"/>
        </w:rPr>
        <w:t xml:space="preserve">. godini, u okolnostima u kojima je ova Uprava funkcionisala, zavrjeđuju pažnju i očekivanje od nadležnih organa da prepoznaju zalaganje </w:t>
      </w:r>
      <w:r w:rsidR="00FB0F30" w:rsidRPr="00512BE3">
        <w:rPr>
          <w:bCs/>
          <w:sz w:val="22"/>
          <w:szCs w:val="22"/>
          <w:lang w:val="sr-Latn-BA"/>
        </w:rPr>
        <w:t xml:space="preserve">menadžmenta i zaposlenih, kao </w:t>
      </w:r>
      <w:r w:rsidR="005671E0" w:rsidRPr="00512BE3">
        <w:rPr>
          <w:bCs/>
          <w:sz w:val="22"/>
          <w:szCs w:val="22"/>
          <w:lang w:val="sr-Latn-BA"/>
        </w:rPr>
        <w:t>i značaj</w:t>
      </w:r>
      <w:r w:rsidR="00FB0F30" w:rsidRPr="00512BE3">
        <w:rPr>
          <w:bCs/>
          <w:sz w:val="22"/>
          <w:szCs w:val="22"/>
          <w:lang w:val="sr-Latn-BA"/>
        </w:rPr>
        <w:t>a</w:t>
      </w:r>
      <w:r w:rsidR="005671E0" w:rsidRPr="00512BE3">
        <w:rPr>
          <w:bCs/>
          <w:sz w:val="22"/>
          <w:szCs w:val="22"/>
          <w:lang w:val="sr-Latn-BA"/>
        </w:rPr>
        <w:t xml:space="preserve"> ove </w:t>
      </w:r>
      <w:r w:rsidR="00FB0F30" w:rsidRPr="00512BE3">
        <w:rPr>
          <w:bCs/>
          <w:sz w:val="22"/>
          <w:szCs w:val="22"/>
          <w:lang w:val="sr-Latn-BA"/>
        </w:rPr>
        <w:t>Uprave</w:t>
      </w:r>
      <w:r w:rsidR="005671E0" w:rsidRPr="00512BE3">
        <w:rPr>
          <w:bCs/>
          <w:sz w:val="22"/>
          <w:szCs w:val="22"/>
          <w:lang w:val="sr-Latn-BA"/>
        </w:rPr>
        <w:t xml:space="preserve"> i da obezbijede </w:t>
      </w:r>
      <w:r w:rsidR="00FB0F30" w:rsidRPr="00512BE3">
        <w:rPr>
          <w:bCs/>
          <w:sz w:val="22"/>
          <w:szCs w:val="22"/>
          <w:lang w:val="sr-Latn-BA"/>
        </w:rPr>
        <w:t>uslove i omoguće</w:t>
      </w:r>
      <w:r w:rsidR="005671E0" w:rsidRPr="00512BE3">
        <w:rPr>
          <w:bCs/>
          <w:sz w:val="22"/>
          <w:szCs w:val="22"/>
          <w:lang w:val="sr-Latn-BA"/>
        </w:rPr>
        <w:t xml:space="preserve"> adekvatno vrednovanje rada i poboljšanje finansijskog položaja zaposlenih u UIO, </w:t>
      </w:r>
      <w:r w:rsidR="00FB0F30" w:rsidRPr="00512BE3">
        <w:rPr>
          <w:bCs/>
          <w:sz w:val="22"/>
          <w:szCs w:val="22"/>
          <w:lang w:val="sr-Latn-BA"/>
        </w:rPr>
        <w:t>te</w:t>
      </w:r>
      <w:r w:rsidR="005671E0" w:rsidRPr="00512BE3">
        <w:rPr>
          <w:bCs/>
          <w:sz w:val="22"/>
          <w:szCs w:val="22"/>
          <w:lang w:val="sr-Latn-BA"/>
        </w:rPr>
        <w:t xml:space="preserve"> </w:t>
      </w:r>
      <w:r w:rsidR="00FB0F30" w:rsidRPr="00512BE3">
        <w:rPr>
          <w:bCs/>
          <w:sz w:val="22"/>
          <w:szCs w:val="22"/>
          <w:lang w:val="sr-Latn-BA"/>
        </w:rPr>
        <w:t xml:space="preserve">da iskažu </w:t>
      </w:r>
      <w:r w:rsidR="005671E0" w:rsidRPr="00512BE3">
        <w:rPr>
          <w:bCs/>
          <w:sz w:val="22"/>
          <w:szCs w:val="22"/>
          <w:lang w:val="sr-Latn-BA"/>
        </w:rPr>
        <w:t xml:space="preserve">veću posvećenost  </w:t>
      </w:r>
      <w:r w:rsidR="00FB0F30" w:rsidRPr="00512BE3">
        <w:rPr>
          <w:bCs/>
          <w:sz w:val="22"/>
          <w:szCs w:val="22"/>
          <w:lang w:val="sr-Latn-BA"/>
        </w:rPr>
        <w:t xml:space="preserve">i razumijevanje potrebama </w:t>
      </w:r>
      <w:r w:rsidR="005671E0" w:rsidRPr="00512BE3">
        <w:rPr>
          <w:bCs/>
          <w:sz w:val="22"/>
          <w:szCs w:val="22"/>
          <w:lang w:val="sr-Latn-BA"/>
        </w:rPr>
        <w:t>UIO</w:t>
      </w:r>
      <w:r w:rsidR="00FB0F30" w:rsidRPr="00512BE3">
        <w:rPr>
          <w:bCs/>
          <w:sz w:val="22"/>
          <w:szCs w:val="22"/>
          <w:lang w:val="sr-Latn-BA"/>
        </w:rPr>
        <w:t xml:space="preserve"> za njezin dalji razvoj i napredak. </w:t>
      </w:r>
      <w:r w:rsidR="005671E0" w:rsidRPr="00512BE3">
        <w:rPr>
          <w:bCs/>
          <w:sz w:val="22"/>
          <w:szCs w:val="22"/>
          <w:lang w:val="sr-Latn-BA"/>
        </w:rPr>
        <w:t xml:space="preserve">   </w:t>
      </w:r>
    </w:p>
    <w:p w14:paraId="68BB0360" w14:textId="676B87C6" w:rsidR="00040E93" w:rsidRPr="00512BE3" w:rsidRDefault="002F5C31" w:rsidP="00894EA8">
      <w:pPr>
        <w:spacing w:after="80"/>
        <w:jc w:val="both"/>
        <w:rPr>
          <w:bCs/>
          <w:sz w:val="22"/>
          <w:szCs w:val="22"/>
          <w:lang w:val="sr-Latn-BA"/>
        </w:rPr>
      </w:pPr>
      <w:r w:rsidRPr="00512BE3">
        <w:rPr>
          <w:bCs/>
          <w:sz w:val="22"/>
          <w:szCs w:val="22"/>
          <w:lang w:val="sr-Latn-BA"/>
        </w:rPr>
        <w:t>U daljem f</w:t>
      </w:r>
      <w:r w:rsidR="00F70EA5" w:rsidRPr="00512BE3">
        <w:rPr>
          <w:bCs/>
          <w:sz w:val="22"/>
          <w:szCs w:val="22"/>
          <w:lang w:val="sr-Latn-BA"/>
        </w:rPr>
        <w:t>unkcionisanj</w:t>
      </w:r>
      <w:r w:rsidRPr="00512BE3">
        <w:rPr>
          <w:bCs/>
          <w:sz w:val="22"/>
          <w:szCs w:val="22"/>
          <w:lang w:val="sr-Latn-BA"/>
        </w:rPr>
        <w:t>u</w:t>
      </w:r>
      <w:r w:rsidR="00F70EA5" w:rsidRPr="00512BE3">
        <w:rPr>
          <w:bCs/>
          <w:sz w:val="22"/>
          <w:szCs w:val="22"/>
          <w:lang w:val="sr-Latn-BA"/>
        </w:rPr>
        <w:t xml:space="preserve"> UIO </w:t>
      </w:r>
      <w:r w:rsidRPr="00512BE3">
        <w:rPr>
          <w:bCs/>
          <w:sz w:val="22"/>
          <w:szCs w:val="22"/>
          <w:lang w:val="sr-Latn-BA"/>
        </w:rPr>
        <w:t xml:space="preserve">će nastaviti </w:t>
      </w:r>
      <w:r w:rsidR="003376AC" w:rsidRPr="00512BE3">
        <w:rPr>
          <w:bCs/>
          <w:sz w:val="22"/>
          <w:szCs w:val="22"/>
          <w:lang w:val="sr-Latn-BA"/>
        </w:rPr>
        <w:t xml:space="preserve">da kroz dobro organizovan i disciplinovan rad </w:t>
      </w:r>
      <w:r w:rsidR="009C09D7" w:rsidRPr="00512BE3">
        <w:rPr>
          <w:bCs/>
          <w:sz w:val="22"/>
          <w:szCs w:val="22"/>
          <w:lang w:val="sr-Latn-BA"/>
        </w:rPr>
        <w:t xml:space="preserve">obezbijedi </w:t>
      </w:r>
      <w:r w:rsidR="00A744ED" w:rsidRPr="00512BE3">
        <w:rPr>
          <w:bCs/>
          <w:sz w:val="22"/>
          <w:szCs w:val="22"/>
          <w:lang w:val="sr-Latn-BA"/>
        </w:rPr>
        <w:t>uspješnu realizaciju</w:t>
      </w:r>
      <w:r w:rsidR="003376AC" w:rsidRPr="00512BE3">
        <w:rPr>
          <w:bCs/>
          <w:sz w:val="22"/>
          <w:szCs w:val="22"/>
          <w:lang w:val="sr-Latn-BA"/>
        </w:rPr>
        <w:t xml:space="preserve"> aktivnosti planir</w:t>
      </w:r>
      <w:r w:rsidR="00CA7D35" w:rsidRPr="00512BE3">
        <w:rPr>
          <w:bCs/>
          <w:sz w:val="22"/>
          <w:szCs w:val="22"/>
          <w:lang w:val="sr-Latn-BA"/>
        </w:rPr>
        <w:t>anih za 2023</w:t>
      </w:r>
      <w:r w:rsidR="003376AC" w:rsidRPr="00512BE3">
        <w:rPr>
          <w:bCs/>
          <w:sz w:val="22"/>
          <w:szCs w:val="22"/>
          <w:lang w:val="sr-Latn-BA"/>
        </w:rPr>
        <w:t>. godinu</w:t>
      </w:r>
      <w:r w:rsidR="00F515DB" w:rsidRPr="00512BE3">
        <w:rPr>
          <w:bCs/>
          <w:sz w:val="22"/>
          <w:szCs w:val="22"/>
          <w:lang w:val="sr-Latn-BA"/>
        </w:rPr>
        <w:t xml:space="preserve">. </w:t>
      </w:r>
      <w:r w:rsidR="003376AC" w:rsidRPr="00512BE3">
        <w:rPr>
          <w:bCs/>
          <w:sz w:val="22"/>
          <w:szCs w:val="22"/>
          <w:lang w:val="sr-Latn-BA"/>
        </w:rPr>
        <w:t xml:space="preserve">Aktivnosti je potrebno usmjeriti u pravcu </w:t>
      </w:r>
      <w:r w:rsidRPr="00512BE3">
        <w:rPr>
          <w:bCs/>
          <w:sz w:val="22"/>
          <w:szCs w:val="22"/>
          <w:lang w:val="sr-Latn-BA"/>
        </w:rPr>
        <w:t>očuvanj</w:t>
      </w:r>
      <w:r w:rsidR="003376AC" w:rsidRPr="00512BE3">
        <w:rPr>
          <w:bCs/>
          <w:sz w:val="22"/>
          <w:szCs w:val="22"/>
          <w:lang w:val="sr-Latn-BA"/>
        </w:rPr>
        <w:t>a</w:t>
      </w:r>
      <w:r w:rsidRPr="00512BE3">
        <w:rPr>
          <w:bCs/>
          <w:sz w:val="22"/>
          <w:szCs w:val="22"/>
          <w:lang w:val="sr-Latn-BA"/>
        </w:rPr>
        <w:t xml:space="preserve"> i razvoj</w:t>
      </w:r>
      <w:r w:rsidR="003376AC" w:rsidRPr="00512BE3">
        <w:rPr>
          <w:bCs/>
          <w:sz w:val="22"/>
          <w:szCs w:val="22"/>
          <w:lang w:val="sr-Latn-BA"/>
        </w:rPr>
        <w:t>a</w:t>
      </w:r>
      <w:r w:rsidRPr="00512BE3">
        <w:rPr>
          <w:bCs/>
          <w:sz w:val="22"/>
          <w:szCs w:val="22"/>
          <w:lang w:val="sr-Latn-BA"/>
        </w:rPr>
        <w:t xml:space="preserve"> </w:t>
      </w:r>
      <w:r w:rsidR="00F70EA5" w:rsidRPr="00512BE3">
        <w:rPr>
          <w:bCs/>
          <w:sz w:val="22"/>
          <w:szCs w:val="22"/>
          <w:lang w:val="sr-Latn-BA"/>
        </w:rPr>
        <w:t>kapacitet</w:t>
      </w:r>
      <w:r w:rsidR="00A44A97" w:rsidRPr="00512BE3">
        <w:rPr>
          <w:bCs/>
          <w:sz w:val="22"/>
          <w:szCs w:val="22"/>
          <w:lang w:val="sr-Latn-BA"/>
        </w:rPr>
        <w:t>a</w:t>
      </w:r>
      <w:r w:rsidR="00F70EA5" w:rsidRPr="00512BE3">
        <w:rPr>
          <w:bCs/>
          <w:sz w:val="22"/>
          <w:szCs w:val="22"/>
          <w:lang w:val="sr-Latn-BA"/>
        </w:rPr>
        <w:t xml:space="preserve">, </w:t>
      </w:r>
      <w:r w:rsidRPr="00512BE3">
        <w:rPr>
          <w:bCs/>
          <w:sz w:val="22"/>
          <w:szCs w:val="22"/>
          <w:lang w:val="sr-Latn-BA"/>
        </w:rPr>
        <w:t>posebno na jačanju ljudskih resursa, na uvođenju elek</w:t>
      </w:r>
      <w:r w:rsidR="009C09D7" w:rsidRPr="00512BE3">
        <w:rPr>
          <w:bCs/>
          <w:sz w:val="22"/>
          <w:szCs w:val="22"/>
          <w:lang w:val="sr-Latn-BA"/>
        </w:rPr>
        <w:t>t</w:t>
      </w:r>
      <w:r w:rsidRPr="00512BE3">
        <w:rPr>
          <w:bCs/>
          <w:sz w:val="22"/>
          <w:szCs w:val="22"/>
          <w:lang w:val="sr-Latn-BA"/>
        </w:rPr>
        <w:t>ronskog poslovanja i olakšavanj</w:t>
      </w:r>
      <w:r w:rsidR="009C09D7" w:rsidRPr="00512BE3">
        <w:rPr>
          <w:bCs/>
          <w:sz w:val="22"/>
          <w:szCs w:val="22"/>
          <w:lang w:val="sr-Latn-BA"/>
        </w:rPr>
        <w:t>u</w:t>
      </w:r>
      <w:r w:rsidRPr="00512BE3">
        <w:rPr>
          <w:bCs/>
          <w:sz w:val="22"/>
          <w:szCs w:val="22"/>
          <w:lang w:val="sr-Latn-BA"/>
        </w:rPr>
        <w:t xml:space="preserve"> komunikacije sa obveznicima i</w:t>
      </w:r>
      <w:r w:rsidR="00F515DB" w:rsidRPr="00512BE3">
        <w:rPr>
          <w:bCs/>
          <w:sz w:val="22"/>
          <w:szCs w:val="22"/>
          <w:lang w:val="sr-Latn-BA"/>
        </w:rPr>
        <w:t>n</w:t>
      </w:r>
      <w:r w:rsidRPr="00512BE3">
        <w:rPr>
          <w:bCs/>
          <w:sz w:val="22"/>
          <w:szCs w:val="22"/>
          <w:lang w:val="sr-Latn-BA"/>
        </w:rPr>
        <w:t xml:space="preserve">direktnih poreza, na uvođenju </w:t>
      </w:r>
      <w:r w:rsidR="003B2359" w:rsidRPr="00512BE3">
        <w:rPr>
          <w:bCs/>
          <w:sz w:val="22"/>
          <w:szCs w:val="22"/>
          <w:lang w:val="sr-Latn-BA"/>
        </w:rPr>
        <w:t>pojednostavljenih</w:t>
      </w:r>
      <w:r w:rsidRPr="00512BE3">
        <w:rPr>
          <w:bCs/>
          <w:sz w:val="22"/>
          <w:szCs w:val="22"/>
          <w:lang w:val="sr-Latn-BA"/>
        </w:rPr>
        <w:t xml:space="preserve"> procedura</w:t>
      </w:r>
      <w:r w:rsidR="003376AC" w:rsidRPr="00512BE3">
        <w:rPr>
          <w:bCs/>
          <w:sz w:val="22"/>
          <w:szCs w:val="22"/>
          <w:lang w:val="sr-Latn-BA"/>
        </w:rPr>
        <w:t>, na</w:t>
      </w:r>
      <w:r w:rsidRPr="00512BE3">
        <w:rPr>
          <w:bCs/>
          <w:sz w:val="22"/>
          <w:szCs w:val="22"/>
          <w:lang w:val="sr-Latn-BA"/>
        </w:rPr>
        <w:t xml:space="preserve"> poboljšanju kvaliteta </w:t>
      </w:r>
      <w:r w:rsidR="003B2359" w:rsidRPr="00512BE3">
        <w:rPr>
          <w:bCs/>
          <w:sz w:val="22"/>
          <w:szCs w:val="22"/>
          <w:lang w:val="sr-Latn-BA"/>
        </w:rPr>
        <w:t xml:space="preserve">usluga i njihovim promovisanjem u javnosti, </w:t>
      </w:r>
      <w:r w:rsidR="003376AC" w:rsidRPr="00512BE3">
        <w:rPr>
          <w:bCs/>
          <w:sz w:val="22"/>
          <w:szCs w:val="22"/>
          <w:lang w:val="sr-Latn-BA"/>
        </w:rPr>
        <w:t xml:space="preserve">na </w:t>
      </w:r>
      <w:r w:rsidR="003B2359" w:rsidRPr="00512BE3">
        <w:rPr>
          <w:bCs/>
          <w:sz w:val="22"/>
          <w:szCs w:val="22"/>
          <w:lang w:val="sr-Latn-BA"/>
        </w:rPr>
        <w:t xml:space="preserve">poboljšanju </w:t>
      </w:r>
      <w:r w:rsidRPr="00512BE3">
        <w:rPr>
          <w:bCs/>
          <w:sz w:val="22"/>
          <w:szCs w:val="22"/>
          <w:lang w:val="sr-Latn-BA"/>
        </w:rPr>
        <w:t>normativni</w:t>
      </w:r>
      <w:r w:rsidR="003B2359" w:rsidRPr="00512BE3">
        <w:rPr>
          <w:bCs/>
          <w:sz w:val="22"/>
          <w:szCs w:val="22"/>
          <w:lang w:val="sr-Latn-BA"/>
        </w:rPr>
        <w:t>h</w:t>
      </w:r>
      <w:r w:rsidRPr="00512BE3">
        <w:rPr>
          <w:bCs/>
          <w:sz w:val="22"/>
          <w:szCs w:val="22"/>
          <w:lang w:val="sr-Latn-BA"/>
        </w:rPr>
        <w:t xml:space="preserve"> rješenj</w:t>
      </w:r>
      <w:r w:rsidR="003B2359" w:rsidRPr="00512BE3">
        <w:rPr>
          <w:bCs/>
          <w:sz w:val="22"/>
          <w:szCs w:val="22"/>
          <w:lang w:val="sr-Latn-BA"/>
        </w:rPr>
        <w:t>a</w:t>
      </w:r>
      <w:r w:rsidR="00FB369E" w:rsidRPr="00512BE3">
        <w:rPr>
          <w:bCs/>
          <w:sz w:val="22"/>
          <w:szCs w:val="22"/>
          <w:lang w:val="sr-Latn-BA"/>
        </w:rPr>
        <w:t xml:space="preserve"> i unaprjeđenju rada </w:t>
      </w:r>
      <w:r w:rsidR="003376AC" w:rsidRPr="00512BE3">
        <w:rPr>
          <w:bCs/>
          <w:sz w:val="22"/>
          <w:szCs w:val="22"/>
          <w:lang w:val="sr-Latn-BA"/>
        </w:rPr>
        <w:t xml:space="preserve">u segmentima </w:t>
      </w:r>
      <w:r w:rsidR="00FB369E" w:rsidRPr="00512BE3">
        <w:rPr>
          <w:bCs/>
          <w:sz w:val="22"/>
          <w:szCs w:val="22"/>
          <w:lang w:val="sr-Latn-BA"/>
        </w:rPr>
        <w:t>u kojima su u izvještajnom periodu uočene određene slabosti.</w:t>
      </w:r>
      <w:r w:rsidR="003B2359" w:rsidRPr="00512BE3">
        <w:rPr>
          <w:bCs/>
          <w:sz w:val="22"/>
          <w:szCs w:val="22"/>
          <w:lang w:val="sr-Latn-BA"/>
        </w:rPr>
        <w:t xml:space="preserve"> </w:t>
      </w:r>
    </w:p>
    <w:p w14:paraId="697D5C07" w14:textId="77777777" w:rsidR="00EC0EBD" w:rsidRPr="00512BE3" w:rsidRDefault="00EC0EBD" w:rsidP="00EC0EBD">
      <w:pPr>
        <w:spacing w:after="80"/>
        <w:jc w:val="both"/>
        <w:rPr>
          <w:bCs/>
          <w:sz w:val="22"/>
          <w:szCs w:val="22"/>
          <w:lang w:val="sr-Latn-BA"/>
        </w:rPr>
      </w:pPr>
    </w:p>
    <w:p w14:paraId="094076CD" w14:textId="77777777" w:rsidR="002C18C0" w:rsidRPr="00512BE3" w:rsidRDefault="00376E2A" w:rsidP="00077D46">
      <w:pPr>
        <w:tabs>
          <w:tab w:val="center" w:pos="8080"/>
        </w:tabs>
        <w:ind w:left="3240"/>
        <w:rPr>
          <w:bCs/>
          <w:sz w:val="22"/>
          <w:szCs w:val="22"/>
        </w:rPr>
      </w:pPr>
      <w:r w:rsidRPr="00512BE3">
        <w:rPr>
          <w:b/>
          <w:lang w:val="en-GB"/>
        </w:rPr>
        <w:tab/>
      </w:r>
      <w:r w:rsidR="0014259A" w:rsidRPr="00512BE3">
        <w:rPr>
          <w:b/>
          <w:sz w:val="22"/>
          <w:szCs w:val="22"/>
          <w:lang w:val="en-GB"/>
        </w:rPr>
        <w:t>DIREKTOR</w:t>
      </w:r>
    </w:p>
    <w:p w14:paraId="091A4C6D" w14:textId="77777777" w:rsidR="0014259A" w:rsidRPr="00512BE3" w:rsidRDefault="0014259A" w:rsidP="00376E2A">
      <w:pPr>
        <w:jc w:val="both"/>
        <w:rPr>
          <w:b/>
          <w:sz w:val="22"/>
          <w:szCs w:val="22"/>
          <w:lang w:val="en-GB"/>
        </w:rPr>
      </w:pPr>
    </w:p>
    <w:p w14:paraId="50F29CAE" w14:textId="77777777" w:rsidR="0014259A" w:rsidRPr="00512BE3" w:rsidRDefault="00EC0EBD" w:rsidP="00376E2A">
      <w:pPr>
        <w:jc w:val="both"/>
        <w:rPr>
          <w:b/>
          <w:sz w:val="22"/>
          <w:szCs w:val="22"/>
          <w:lang w:val="en-GB"/>
        </w:rPr>
      </w:pPr>
      <w:r w:rsidRPr="00512BE3">
        <w:rPr>
          <w:b/>
          <w:sz w:val="22"/>
          <w:szCs w:val="22"/>
          <w:lang w:val="en-GB"/>
        </w:rPr>
        <w:t xml:space="preserve">    </w:t>
      </w:r>
      <w:r w:rsidR="00077D46" w:rsidRPr="00512BE3">
        <w:rPr>
          <w:b/>
          <w:sz w:val="22"/>
          <w:szCs w:val="22"/>
          <w:lang w:val="en-GB"/>
        </w:rPr>
        <w:t xml:space="preserve">                                                                                                                               </w:t>
      </w:r>
      <w:r w:rsidR="0014259A" w:rsidRPr="00512BE3">
        <w:rPr>
          <w:b/>
          <w:sz w:val="22"/>
          <w:szCs w:val="22"/>
          <w:lang w:val="en-GB"/>
        </w:rPr>
        <w:t>Dr Miro Džakula</w:t>
      </w:r>
    </w:p>
    <w:p w14:paraId="0671AA10" w14:textId="77777777" w:rsidR="00376E2A" w:rsidRPr="00512BE3" w:rsidRDefault="00376E2A" w:rsidP="00376E2A">
      <w:pPr>
        <w:jc w:val="both"/>
        <w:rPr>
          <w:b/>
          <w:sz w:val="22"/>
          <w:szCs w:val="22"/>
          <w:lang w:val="en-GB"/>
        </w:rPr>
      </w:pPr>
      <w:r w:rsidRPr="00512BE3">
        <w:rPr>
          <w:b/>
          <w:sz w:val="22"/>
          <w:szCs w:val="22"/>
          <w:lang w:val="en-GB"/>
        </w:rPr>
        <w:t>Dostaviti:</w:t>
      </w:r>
    </w:p>
    <w:p w14:paraId="5195DC09" w14:textId="77777777" w:rsidR="00376E2A" w:rsidRPr="00512BE3" w:rsidRDefault="00376E2A" w:rsidP="008E3602">
      <w:pPr>
        <w:numPr>
          <w:ilvl w:val="0"/>
          <w:numId w:val="10"/>
        </w:numPr>
        <w:ind w:left="284" w:hanging="284"/>
        <w:rPr>
          <w:sz w:val="22"/>
          <w:szCs w:val="22"/>
          <w:lang w:val="en-GB"/>
        </w:rPr>
      </w:pPr>
      <w:r w:rsidRPr="00512BE3">
        <w:rPr>
          <w:sz w:val="22"/>
          <w:szCs w:val="22"/>
          <w:lang w:val="en-GB"/>
        </w:rPr>
        <w:t>Naslovu</w:t>
      </w:r>
    </w:p>
    <w:p w14:paraId="7D273642" w14:textId="77777777" w:rsidR="00386A82" w:rsidRPr="00512BE3" w:rsidRDefault="00386A82" w:rsidP="008E3602">
      <w:pPr>
        <w:numPr>
          <w:ilvl w:val="0"/>
          <w:numId w:val="10"/>
        </w:numPr>
        <w:ind w:left="284" w:hanging="284"/>
        <w:rPr>
          <w:sz w:val="22"/>
          <w:szCs w:val="22"/>
          <w:lang w:val="en-GB"/>
        </w:rPr>
      </w:pPr>
      <w:r w:rsidRPr="00512BE3">
        <w:rPr>
          <w:sz w:val="22"/>
          <w:szCs w:val="22"/>
          <w:lang w:val="en-GB"/>
        </w:rPr>
        <w:t>Kabinet direktora</w:t>
      </w:r>
      <w:r w:rsidR="00BA54BF" w:rsidRPr="00512BE3">
        <w:rPr>
          <w:sz w:val="22"/>
          <w:szCs w:val="22"/>
          <w:lang w:val="en-GB"/>
        </w:rPr>
        <w:t>, 01/1-1</w:t>
      </w:r>
    </w:p>
    <w:p w14:paraId="64597EE1" w14:textId="77777777" w:rsidR="00891B04" w:rsidRPr="00512BE3" w:rsidRDefault="00386A82" w:rsidP="008E3602">
      <w:pPr>
        <w:numPr>
          <w:ilvl w:val="0"/>
          <w:numId w:val="10"/>
        </w:numPr>
        <w:ind w:left="284" w:hanging="284"/>
        <w:rPr>
          <w:b/>
          <w:bCs/>
          <w:sz w:val="22"/>
          <w:szCs w:val="22"/>
          <w:lang w:val="sr-Latn-BA"/>
        </w:rPr>
        <w:sectPr w:rsidR="00891B04" w:rsidRPr="00512BE3" w:rsidSect="005E7893">
          <w:footerReference w:type="default" r:id="rId15"/>
          <w:pgSz w:w="11906" w:h="16838"/>
          <w:pgMar w:top="426" w:right="1418" w:bottom="0" w:left="1418" w:header="567" w:footer="709" w:gutter="0"/>
          <w:pgNumType w:start="1"/>
          <w:cols w:space="708"/>
          <w:docGrid w:linePitch="360"/>
        </w:sectPr>
      </w:pPr>
      <w:r w:rsidRPr="00512BE3">
        <w:rPr>
          <w:sz w:val="22"/>
          <w:szCs w:val="22"/>
          <w:lang w:val="en-GB"/>
        </w:rPr>
        <w:t>a/a</w:t>
      </w:r>
    </w:p>
    <w:p w14:paraId="70B02C75" w14:textId="0AA91F40" w:rsidR="006B3DF5" w:rsidRPr="00512BE3" w:rsidRDefault="006B3DF5" w:rsidP="00056D2B">
      <w:pPr>
        <w:tabs>
          <w:tab w:val="left" w:pos="7335"/>
        </w:tabs>
        <w:jc w:val="both"/>
        <w:rPr>
          <w:rFonts w:ascii="Calibri" w:eastAsia="Calibri" w:hAnsi="Calibri"/>
          <w:sz w:val="20"/>
          <w:szCs w:val="20"/>
          <w:lang w:val="en-US" w:eastAsia="en-US"/>
        </w:rPr>
      </w:pPr>
      <w:r w:rsidRPr="00512BE3">
        <w:rPr>
          <w:bCs/>
          <w:sz w:val="22"/>
          <w:szCs w:val="22"/>
          <w:lang w:val="sr-Latn-BA"/>
        </w:rPr>
        <w:lastRenderedPageBreak/>
        <w:fldChar w:fldCharType="begin"/>
      </w:r>
      <w:r w:rsidRPr="00512BE3">
        <w:rPr>
          <w:bCs/>
          <w:sz w:val="22"/>
          <w:szCs w:val="22"/>
          <w:lang w:val="sr-Latn-BA"/>
        </w:rPr>
        <w:instrText xml:space="preserve"> LINK Excel.Sheet.12 "C:\\Users\\mrkelmi\\AppData\\Local\\Microsoft\\Windows\\INetCache\\Content.Outlook\\4761TQA8\\tabela 1 - Pregled naplacenih prihoda po vrstama - Decembar 2022.xlsx" "01.01.- 31.12.22.!R5C1:R75C9" \a \f 4 \h </w:instrText>
      </w:r>
      <w:r w:rsidR="006320E2" w:rsidRPr="00512BE3">
        <w:rPr>
          <w:bCs/>
          <w:sz w:val="22"/>
          <w:szCs w:val="22"/>
          <w:lang w:val="sr-Latn-BA"/>
        </w:rPr>
        <w:instrText xml:space="preserve"> \* MERGEFORMAT </w:instrText>
      </w:r>
      <w:r w:rsidRPr="00512BE3">
        <w:rPr>
          <w:bCs/>
          <w:sz w:val="22"/>
          <w:szCs w:val="22"/>
          <w:lang w:val="sr-Latn-BA"/>
        </w:rPr>
        <w:fldChar w:fldCharType="separate"/>
      </w:r>
    </w:p>
    <w:p w14:paraId="47D6017F" w14:textId="77777777" w:rsidR="006320E2" w:rsidRPr="00512BE3" w:rsidRDefault="006B3DF5" w:rsidP="00056D2B">
      <w:pPr>
        <w:tabs>
          <w:tab w:val="left" w:pos="7335"/>
        </w:tabs>
        <w:jc w:val="both"/>
        <w:rPr>
          <w:bCs/>
          <w:sz w:val="22"/>
          <w:szCs w:val="22"/>
          <w:lang w:val="sr-Latn-BA"/>
        </w:rPr>
      </w:pPr>
      <w:r w:rsidRPr="00512BE3">
        <w:rPr>
          <w:bCs/>
          <w:sz w:val="22"/>
          <w:szCs w:val="22"/>
          <w:lang w:val="sr-Latn-BA"/>
        </w:rPr>
        <w:fldChar w:fldCharType="end"/>
      </w:r>
    </w:p>
    <w:p w14:paraId="45EB903F" w14:textId="52CA2848" w:rsidR="006320E2" w:rsidRPr="00512BE3" w:rsidRDefault="006320E2" w:rsidP="00056D2B">
      <w:pPr>
        <w:tabs>
          <w:tab w:val="left" w:pos="7335"/>
        </w:tabs>
        <w:jc w:val="both"/>
        <w:rPr>
          <w:rFonts w:ascii="Calibri" w:eastAsia="Calibri" w:hAnsi="Calibri"/>
          <w:sz w:val="20"/>
          <w:szCs w:val="20"/>
          <w:lang w:val="en-US" w:eastAsia="en-US"/>
        </w:rPr>
      </w:pPr>
      <w:r w:rsidRPr="00512BE3">
        <w:rPr>
          <w:bCs/>
          <w:sz w:val="22"/>
          <w:szCs w:val="22"/>
          <w:lang w:val="sr-Latn-BA"/>
        </w:rPr>
        <w:fldChar w:fldCharType="begin"/>
      </w:r>
      <w:r w:rsidRPr="00512BE3">
        <w:rPr>
          <w:bCs/>
          <w:sz w:val="22"/>
          <w:szCs w:val="22"/>
          <w:lang w:val="sr-Latn-BA"/>
        </w:rPr>
        <w:instrText xml:space="preserve"> LINK Excel.Sheet.12 "C:\\Users\\mrkelmi\\AppData\\Local\\Microsoft\\Windows\\INetCache\\Content.Outlook\\4761TQA8\\tabela 1 - Pregled naplacenih prihoda po vrstama - Decembar 2022.xlsx" "01.01.- 31.12.22.!R5C1:R75C9" \a \f 5 \h  \* MERGEFORMAT </w:instrText>
      </w:r>
      <w:r w:rsidRPr="00512BE3">
        <w:rPr>
          <w:bCs/>
          <w:sz w:val="22"/>
          <w:szCs w:val="22"/>
          <w:lang w:val="sr-Latn-BA"/>
        </w:rPr>
        <w:fldChar w:fldCharType="separate"/>
      </w:r>
    </w:p>
    <w:tbl>
      <w:tblPr>
        <w:tblStyle w:val="TableGrid"/>
        <w:tblW w:w="10369" w:type="dxa"/>
        <w:tblLook w:val="04A0" w:firstRow="1" w:lastRow="0" w:firstColumn="1" w:lastColumn="0" w:noHBand="0" w:noVBand="1"/>
      </w:tblPr>
      <w:tblGrid>
        <w:gridCol w:w="803"/>
        <w:gridCol w:w="2081"/>
        <w:gridCol w:w="1462"/>
        <w:gridCol w:w="1329"/>
        <w:gridCol w:w="1329"/>
        <w:gridCol w:w="1462"/>
        <w:gridCol w:w="706"/>
        <w:gridCol w:w="706"/>
        <w:gridCol w:w="706"/>
      </w:tblGrid>
      <w:tr w:rsidR="006320E2" w:rsidRPr="00512BE3" w14:paraId="366CEF5D" w14:textId="77777777" w:rsidTr="00512BE3">
        <w:trPr>
          <w:trHeight w:val="171"/>
        </w:trPr>
        <w:tc>
          <w:tcPr>
            <w:tcW w:w="10369" w:type="dxa"/>
            <w:gridSpan w:val="9"/>
            <w:shd w:val="clear" w:color="auto" w:fill="E7E6E6" w:themeFill="background2"/>
            <w:noWrap/>
            <w:vAlign w:val="center"/>
            <w:hideMark/>
          </w:tcPr>
          <w:p w14:paraId="34EE562E" w14:textId="507FF1FF" w:rsidR="006320E2" w:rsidRPr="00512BE3" w:rsidRDefault="006320E2" w:rsidP="006320E2">
            <w:pPr>
              <w:tabs>
                <w:tab w:val="left" w:pos="7335"/>
              </w:tabs>
              <w:jc w:val="center"/>
              <w:rPr>
                <w:rFonts w:ascii="Arial" w:hAnsi="Arial" w:cs="Arial"/>
                <w:b/>
                <w:bCs/>
                <w:sz w:val="20"/>
                <w:szCs w:val="16"/>
              </w:rPr>
            </w:pPr>
            <w:r w:rsidRPr="00512BE3">
              <w:rPr>
                <w:rFonts w:ascii="Arial" w:hAnsi="Arial" w:cs="Arial"/>
                <w:b/>
                <w:bCs/>
                <w:sz w:val="20"/>
                <w:szCs w:val="16"/>
              </w:rPr>
              <w:t>PREGLED NAPLAĆENIH BRUTO PRIHODA PO VRSTAMA U PERIODU 01.01.- 31.12.2021./2022. GODINE</w:t>
            </w:r>
          </w:p>
        </w:tc>
      </w:tr>
      <w:tr w:rsidR="006320E2" w:rsidRPr="00512BE3" w14:paraId="665650D6" w14:textId="77777777" w:rsidTr="00512BE3">
        <w:trPr>
          <w:trHeight w:val="171"/>
        </w:trPr>
        <w:tc>
          <w:tcPr>
            <w:tcW w:w="10369" w:type="dxa"/>
            <w:gridSpan w:val="9"/>
            <w:noWrap/>
            <w:vAlign w:val="center"/>
          </w:tcPr>
          <w:p w14:paraId="5D998A2A" w14:textId="77777777" w:rsidR="006320E2" w:rsidRPr="00512BE3" w:rsidRDefault="006320E2" w:rsidP="006320E2">
            <w:pPr>
              <w:tabs>
                <w:tab w:val="left" w:pos="7335"/>
              </w:tabs>
              <w:jc w:val="both"/>
              <w:rPr>
                <w:rFonts w:ascii="Arial" w:hAnsi="Arial" w:cs="Arial"/>
                <w:b/>
                <w:bCs/>
                <w:sz w:val="16"/>
                <w:szCs w:val="16"/>
              </w:rPr>
            </w:pPr>
          </w:p>
        </w:tc>
      </w:tr>
      <w:tr w:rsidR="007615B0" w:rsidRPr="00512BE3" w14:paraId="3BA5F8E4" w14:textId="77777777" w:rsidTr="00512BE3">
        <w:trPr>
          <w:trHeight w:val="783"/>
        </w:trPr>
        <w:tc>
          <w:tcPr>
            <w:tcW w:w="782" w:type="dxa"/>
            <w:shd w:val="clear" w:color="auto" w:fill="DEEAF6" w:themeFill="accent1" w:themeFillTint="33"/>
            <w:vAlign w:val="center"/>
            <w:hideMark/>
          </w:tcPr>
          <w:p w14:paraId="5F9D8F82" w14:textId="77777777"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Vrsta</w:t>
            </w:r>
            <w:r w:rsidRPr="00512BE3">
              <w:rPr>
                <w:rFonts w:ascii="Arial" w:hAnsi="Arial" w:cs="Arial"/>
                <w:b/>
                <w:bCs/>
                <w:sz w:val="16"/>
                <w:szCs w:val="16"/>
              </w:rPr>
              <w:br/>
              <w:t>prihoda</w:t>
            </w:r>
          </w:p>
        </w:tc>
        <w:tc>
          <w:tcPr>
            <w:tcW w:w="2081" w:type="dxa"/>
            <w:shd w:val="clear" w:color="auto" w:fill="DEEAF6" w:themeFill="accent1" w:themeFillTint="33"/>
            <w:vAlign w:val="center"/>
            <w:hideMark/>
          </w:tcPr>
          <w:p w14:paraId="3A975926" w14:textId="77777777"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Naziv prihoda</w:t>
            </w:r>
          </w:p>
        </w:tc>
        <w:tc>
          <w:tcPr>
            <w:tcW w:w="1424" w:type="dxa"/>
            <w:shd w:val="clear" w:color="auto" w:fill="DEEAF6" w:themeFill="accent1" w:themeFillTint="33"/>
            <w:vAlign w:val="center"/>
            <w:hideMark/>
          </w:tcPr>
          <w:p w14:paraId="5B43E85C" w14:textId="71DF8FB8"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 xml:space="preserve">01.01.-31.12.             </w:t>
            </w:r>
            <w:r w:rsidRPr="00512BE3">
              <w:rPr>
                <w:rFonts w:ascii="Arial" w:hAnsi="Arial" w:cs="Arial"/>
                <w:b/>
                <w:bCs/>
                <w:sz w:val="16"/>
                <w:szCs w:val="16"/>
              </w:rPr>
              <w:br/>
              <w:t xml:space="preserve">       2021.</w:t>
            </w:r>
          </w:p>
        </w:tc>
        <w:tc>
          <w:tcPr>
            <w:tcW w:w="1295" w:type="dxa"/>
            <w:shd w:val="clear" w:color="auto" w:fill="DEEAF6" w:themeFill="accent1" w:themeFillTint="33"/>
            <w:vAlign w:val="center"/>
            <w:hideMark/>
          </w:tcPr>
          <w:p w14:paraId="5735FE4B" w14:textId="0F1E448A"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Decembar</w:t>
            </w:r>
            <w:r w:rsidRPr="00512BE3">
              <w:rPr>
                <w:rFonts w:ascii="Arial" w:hAnsi="Arial" w:cs="Arial"/>
                <w:b/>
                <w:bCs/>
                <w:sz w:val="16"/>
                <w:szCs w:val="16"/>
              </w:rPr>
              <w:br/>
              <w:t xml:space="preserve">     2021.</w:t>
            </w:r>
          </w:p>
        </w:tc>
        <w:tc>
          <w:tcPr>
            <w:tcW w:w="1295" w:type="dxa"/>
            <w:shd w:val="clear" w:color="auto" w:fill="DEEAF6" w:themeFill="accent1" w:themeFillTint="33"/>
            <w:vAlign w:val="center"/>
            <w:hideMark/>
          </w:tcPr>
          <w:p w14:paraId="4D695A2A" w14:textId="114402C2"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Decembar</w:t>
            </w:r>
            <w:r w:rsidRPr="00512BE3">
              <w:rPr>
                <w:rFonts w:ascii="Arial" w:hAnsi="Arial" w:cs="Arial"/>
                <w:b/>
                <w:bCs/>
                <w:sz w:val="16"/>
                <w:szCs w:val="16"/>
              </w:rPr>
              <w:br/>
              <w:t xml:space="preserve">    2022.</w:t>
            </w:r>
          </w:p>
        </w:tc>
        <w:tc>
          <w:tcPr>
            <w:tcW w:w="1424" w:type="dxa"/>
            <w:shd w:val="clear" w:color="auto" w:fill="DEEAF6" w:themeFill="accent1" w:themeFillTint="33"/>
            <w:vAlign w:val="center"/>
            <w:hideMark/>
          </w:tcPr>
          <w:p w14:paraId="5DB4CBB5" w14:textId="3D19DDA1"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 xml:space="preserve">01.01.-31.12.             </w:t>
            </w:r>
            <w:r w:rsidRPr="00512BE3">
              <w:rPr>
                <w:rFonts w:ascii="Arial" w:hAnsi="Arial" w:cs="Arial"/>
                <w:b/>
                <w:bCs/>
                <w:sz w:val="16"/>
                <w:szCs w:val="16"/>
              </w:rPr>
              <w:br/>
              <w:t xml:space="preserve">       2022.</w:t>
            </w:r>
          </w:p>
        </w:tc>
        <w:tc>
          <w:tcPr>
            <w:tcW w:w="688" w:type="dxa"/>
            <w:shd w:val="clear" w:color="auto" w:fill="DEEAF6" w:themeFill="accent1" w:themeFillTint="33"/>
            <w:vAlign w:val="center"/>
            <w:hideMark/>
          </w:tcPr>
          <w:p w14:paraId="7BF7BF68" w14:textId="77777777"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Index</w:t>
            </w:r>
            <w:r w:rsidRPr="00512BE3">
              <w:rPr>
                <w:rFonts w:ascii="Arial" w:hAnsi="Arial" w:cs="Arial"/>
                <w:b/>
                <w:bCs/>
                <w:sz w:val="16"/>
                <w:szCs w:val="16"/>
              </w:rPr>
              <w:br/>
              <w:t>(5/4)</w:t>
            </w:r>
          </w:p>
        </w:tc>
        <w:tc>
          <w:tcPr>
            <w:tcW w:w="688" w:type="dxa"/>
            <w:shd w:val="clear" w:color="auto" w:fill="DEEAF6" w:themeFill="accent1" w:themeFillTint="33"/>
            <w:vAlign w:val="center"/>
            <w:hideMark/>
          </w:tcPr>
          <w:p w14:paraId="6A77051F" w14:textId="77777777"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Index</w:t>
            </w:r>
            <w:r w:rsidRPr="00512BE3">
              <w:rPr>
                <w:rFonts w:ascii="Arial" w:hAnsi="Arial" w:cs="Arial"/>
                <w:b/>
                <w:bCs/>
                <w:sz w:val="16"/>
                <w:szCs w:val="16"/>
              </w:rPr>
              <w:br/>
              <w:t>(6/3)</w:t>
            </w:r>
          </w:p>
        </w:tc>
        <w:tc>
          <w:tcPr>
            <w:tcW w:w="688" w:type="dxa"/>
            <w:shd w:val="clear" w:color="auto" w:fill="DEEAF6" w:themeFill="accent1" w:themeFillTint="33"/>
            <w:vAlign w:val="center"/>
            <w:hideMark/>
          </w:tcPr>
          <w:p w14:paraId="730C5857" w14:textId="3554B926" w:rsidR="007615B0" w:rsidRPr="00512BE3" w:rsidRDefault="007615B0" w:rsidP="007615B0">
            <w:pPr>
              <w:tabs>
                <w:tab w:val="left" w:pos="7335"/>
              </w:tabs>
              <w:jc w:val="both"/>
              <w:rPr>
                <w:rFonts w:ascii="Arial" w:hAnsi="Arial" w:cs="Arial"/>
                <w:b/>
                <w:bCs/>
                <w:sz w:val="16"/>
                <w:szCs w:val="16"/>
              </w:rPr>
            </w:pPr>
            <w:r w:rsidRPr="00512BE3">
              <w:rPr>
                <w:rFonts w:ascii="Arial" w:hAnsi="Arial" w:cs="Arial"/>
                <w:b/>
                <w:bCs/>
                <w:sz w:val="16"/>
                <w:szCs w:val="16"/>
              </w:rPr>
              <w:t>% učeš.</w:t>
            </w:r>
            <w:r w:rsidRPr="00512BE3">
              <w:rPr>
                <w:rFonts w:ascii="Arial" w:hAnsi="Arial" w:cs="Arial"/>
                <w:b/>
                <w:bCs/>
                <w:sz w:val="16"/>
                <w:szCs w:val="16"/>
              </w:rPr>
              <w:br/>
              <w:t xml:space="preserve"> u uk.</w:t>
            </w:r>
            <w:r w:rsidRPr="00512BE3">
              <w:rPr>
                <w:rFonts w:ascii="Arial" w:hAnsi="Arial" w:cs="Arial"/>
                <w:b/>
                <w:bCs/>
                <w:sz w:val="16"/>
                <w:szCs w:val="16"/>
              </w:rPr>
              <w:br/>
              <w:t>napl. prih.</w:t>
            </w:r>
          </w:p>
        </w:tc>
      </w:tr>
      <w:tr w:rsidR="007615B0" w:rsidRPr="00512BE3" w14:paraId="3A7B2602" w14:textId="77777777" w:rsidTr="00512BE3">
        <w:trPr>
          <w:trHeight w:val="300"/>
        </w:trPr>
        <w:tc>
          <w:tcPr>
            <w:tcW w:w="782" w:type="dxa"/>
            <w:shd w:val="clear" w:color="auto" w:fill="FFFF00"/>
            <w:vAlign w:val="center"/>
            <w:hideMark/>
          </w:tcPr>
          <w:p w14:paraId="694A2342"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1</w:t>
            </w:r>
          </w:p>
        </w:tc>
        <w:tc>
          <w:tcPr>
            <w:tcW w:w="2081" w:type="dxa"/>
            <w:shd w:val="clear" w:color="auto" w:fill="FFFF00"/>
            <w:vAlign w:val="center"/>
            <w:hideMark/>
          </w:tcPr>
          <w:p w14:paraId="5C379269"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2</w:t>
            </w:r>
          </w:p>
        </w:tc>
        <w:tc>
          <w:tcPr>
            <w:tcW w:w="1424" w:type="dxa"/>
            <w:shd w:val="clear" w:color="auto" w:fill="FFFF00"/>
            <w:noWrap/>
            <w:vAlign w:val="center"/>
            <w:hideMark/>
          </w:tcPr>
          <w:p w14:paraId="5AF8B483"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3</w:t>
            </w:r>
          </w:p>
        </w:tc>
        <w:tc>
          <w:tcPr>
            <w:tcW w:w="1295" w:type="dxa"/>
            <w:shd w:val="clear" w:color="auto" w:fill="FFFF00"/>
            <w:noWrap/>
            <w:vAlign w:val="center"/>
            <w:hideMark/>
          </w:tcPr>
          <w:p w14:paraId="1231F4C9"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4</w:t>
            </w:r>
          </w:p>
        </w:tc>
        <w:tc>
          <w:tcPr>
            <w:tcW w:w="1295" w:type="dxa"/>
            <w:shd w:val="clear" w:color="auto" w:fill="FFFF00"/>
            <w:noWrap/>
            <w:vAlign w:val="center"/>
            <w:hideMark/>
          </w:tcPr>
          <w:p w14:paraId="21888BC7"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5</w:t>
            </w:r>
          </w:p>
        </w:tc>
        <w:tc>
          <w:tcPr>
            <w:tcW w:w="1424" w:type="dxa"/>
            <w:shd w:val="clear" w:color="auto" w:fill="FFFF00"/>
            <w:noWrap/>
            <w:vAlign w:val="center"/>
            <w:hideMark/>
          </w:tcPr>
          <w:p w14:paraId="0E671315"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6</w:t>
            </w:r>
          </w:p>
        </w:tc>
        <w:tc>
          <w:tcPr>
            <w:tcW w:w="688" w:type="dxa"/>
            <w:shd w:val="clear" w:color="auto" w:fill="FFFF00"/>
            <w:noWrap/>
            <w:vAlign w:val="center"/>
            <w:hideMark/>
          </w:tcPr>
          <w:p w14:paraId="2353D28A"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7</w:t>
            </w:r>
          </w:p>
        </w:tc>
        <w:tc>
          <w:tcPr>
            <w:tcW w:w="688" w:type="dxa"/>
            <w:shd w:val="clear" w:color="auto" w:fill="FFFF00"/>
            <w:noWrap/>
            <w:vAlign w:val="center"/>
            <w:hideMark/>
          </w:tcPr>
          <w:p w14:paraId="61C0BDAA"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8</w:t>
            </w:r>
          </w:p>
        </w:tc>
        <w:tc>
          <w:tcPr>
            <w:tcW w:w="688" w:type="dxa"/>
            <w:shd w:val="clear" w:color="auto" w:fill="FFFF00"/>
            <w:noWrap/>
            <w:vAlign w:val="center"/>
            <w:hideMark/>
          </w:tcPr>
          <w:p w14:paraId="3A39122D" w14:textId="77777777" w:rsidR="006320E2" w:rsidRPr="00512BE3" w:rsidRDefault="006320E2" w:rsidP="006320E2">
            <w:pPr>
              <w:tabs>
                <w:tab w:val="left" w:pos="7335"/>
              </w:tabs>
              <w:jc w:val="center"/>
              <w:rPr>
                <w:rFonts w:ascii="Arial" w:hAnsi="Arial" w:cs="Arial"/>
                <w:bCs/>
                <w:sz w:val="16"/>
                <w:szCs w:val="16"/>
              </w:rPr>
            </w:pPr>
            <w:r w:rsidRPr="00512BE3">
              <w:rPr>
                <w:rFonts w:ascii="Arial" w:hAnsi="Arial" w:cs="Arial"/>
                <w:bCs/>
                <w:sz w:val="16"/>
                <w:szCs w:val="16"/>
              </w:rPr>
              <w:t>9</w:t>
            </w:r>
          </w:p>
        </w:tc>
      </w:tr>
      <w:tr w:rsidR="007615B0" w:rsidRPr="00512BE3" w14:paraId="149905BB" w14:textId="77777777" w:rsidTr="00512BE3">
        <w:trPr>
          <w:trHeight w:val="300"/>
        </w:trPr>
        <w:tc>
          <w:tcPr>
            <w:tcW w:w="782" w:type="dxa"/>
            <w:shd w:val="clear" w:color="auto" w:fill="E2EFD9" w:themeFill="accent6" w:themeFillTint="33"/>
            <w:vAlign w:val="center"/>
            <w:hideMark/>
          </w:tcPr>
          <w:p w14:paraId="216DF684" w14:textId="77777777" w:rsidR="006320E2"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1</w:t>
            </w:r>
          </w:p>
        </w:tc>
        <w:tc>
          <w:tcPr>
            <w:tcW w:w="2081" w:type="dxa"/>
            <w:shd w:val="clear" w:color="auto" w:fill="E2EFD9" w:themeFill="accent6" w:themeFillTint="33"/>
            <w:vAlign w:val="center"/>
            <w:hideMark/>
          </w:tcPr>
          <w:p w14:paraId="1296ECFD"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Porez na dodanu vrijednost</w:t>
            </w:r>
          </w:p>
        </w:tc>
        <w:tc>
          <w:tcPr>
            <w:tcW w:w="1424" w:type="dxa"/>
            <w:shd w:val="clear" w:color="auto" w:fill="E2EFD9" w:themeFill="accent6" w:themeFillTint="33"/>
            <w:noWrap/>
            <w:vAlign w:val="center"/>
            <w:hideMark/>
          </w:tcPr>
          <w:p w14:paraId="430E60E1"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5.931.619.290,91</w:t>
            </w:r>
          </w:p>
        </w:tc>
        <w:tc>
          <w:tcPr>
            <w:tcW w:w="1295" w:type="dxa"/>
            <w:shd w:val="clear" w:color="auto" w:fill="E2EFD9" w:themeFill="accent6" w:themeFillTint="33"/>
            <w:noWrap/>
            <w:vAlign w:val="center"/>
            <w:hideMark/>
          </w:tcPr>
          <w:p w14:paraId="19A76FB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570.589.197,84</w:t>
            </w:r>
          </w:p>
        </w:tc>
        <w:tc>
          <w:tcPr>
            <w:tcW w:w="1295" w:type="dxa"/>
            <w:shd w:val="clear" w:color="auto" w:fill="E2EFD9" w:themeFill="accent6" w:themeFillTint="33"/>
            <w:vAlign w:val="center"/>
            <w:hideMark/>
          </w:tcPr>
          <w:p w14:paraId="47752FAC"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649.427.649,73</w:t>
            </w:r>
          </w:p>
        </w:tc>
        <w:tc>
          <w:tcPr>
            <w:tcW w:w="1424" w:type="dxa"/>
            <w:shd w:val="clear" w:color="auto" w:fill="E2EFD9" w:themeFill="accent6" w:themeFillTint="33"/>
            <w:vAlign w:val="center"/>
            <w:hideMark/>
          </w:tcPr>
          <w:p w14:paraId="75B2A6CF"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7.197.001.397,72</w:t>
            </w:r>
          </w:p>
        </w:tc>
        <w:tc>
          <w:tcPr>
            <w:tcW w:w="688" w:type="dxa"/>
            <w:shd w:val="clear" w:color="auto" w:fill="E2EFD9" w:themeFill="accent6" w:themeFillTint="33"/>
            <w:noWrap/>
            <w:vAlign w:val="center"/>
            <w:hideMark/>
          </w:tcPr>
          <w:p w14:paraId="61B63E6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113,82</w:t>
            </w:r>
          </w:p>
        </w:tc>
        <w:tc>
          <w:tcPr>
            <w:tcW w:w="688" w:type="dxa"/>
            <w:shd w:val="clear" w:color="auto" w:fill="E2EFD9" w:themeFill="accent6" w:themeFillTint="33"/>
            <w:noWrap/>
            <w:vAlign w:val="center"/>
            <w:hideMark/>
          </w:tcPr>
          <w:p w14:paraId="27858C61"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121,33</w:t>
            </w:r>
          </w:p>
        </w:tc>
        <w:tc>
          <w:tcPr>
            <w:tcW w:w="688" w:type="dxa"/>
            <w:shd w:val="clear" w:color="auto" w:fill="E2EFD9" w:themeFill="accent6" w:themeFillTint="33"/>
            <w:noWrap/>
            <w:vAlign w:val="center"/>
            <w:hideMark/>
          </w:tcPr>
          <w:p w14:paraId="4967223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72,50</w:t>
            </w:r>
          </w:p>
        </w:tc>
      </w:tr>
      <w:tr w:rsidR="007615B0" w:rsidRPr="00512BE3" w14:paraId="443AE500" w14:textId="77777777" w:rsidTr="00512BE3">
        <w:trPr>
          <w:trHeight w:val="300"/>
        </w:trPr>
        <w:tc>
          <w:tcPr>
            <w:tcW w:w="782" w:type="dxa"/>
            <w:noWrap/>
            <w:vAlign w:val="center"/>
            <w:hideMark/>
          </w:tcPr>
          <w:p w14:paraId="4D7D97A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717111</w:t>
            </w:r>
          </w:p>
        </w:tc>
        <w:tc>
          <w:tcPr>
            <w:tcW w:w="2081" w:type="dxa"/>
            <w:noWrap/>
            <w:vAlign w:val="center"/>
            <w:hideMark/>
          </w:tcPr>
          <w:p w14:paraId="663078EC"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PDV na uvoze</w:t>
            </w:r>
          </w:p>
        </w:tc>
        <w:tc>
          <w:tcPr>
            <w:tcW w:w="1424" w:type="dxa"/>
            <w:noWrap/>
            <w:vAlign w:val="center"/>
            <w:hideMark/>
          </w:tcPr>
          <w:p w14:paraId="6C9BF4F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3.640.382.377,37</w:t>
            </w:r>
          </w:p>
        </w:tc>
        <w:tc>
          <w:tcPr>
            <w:tcW w:w="1295" w:type="dxa"/>
            <w:vAlign w:val="center"/>
            <w:hideMark/>
          </w:tcPr>
          <w:p w14:paraId="36116B8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382.818.708,80</w:t>
            </w:r>
          </w:p>
        </w:tc>
        <w:tc>
          <w:tcPr>
            <w:tcW w:w="1295" w:type="dxa"/>
            <w:vAlign w:val="center"/>
            <w:hideMark/>
          </w:tcPr>
          <w:p w14:paraId="555775C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439.070.399,99</w:t>
            </w:r>
          </w:p>
        </w:tc>
        <w:tc>
          <w:tcPr>
            <w:tcW w:w="1424" w:type="dxa"/>
            <w:noWrap/>
            <w:vAlign w:val="center"/>
            <w:hideMark/>
          </w:tcPr>
          <w:p w14:paraId="174F568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4.709.265.325,02</w:t>
            </w:r>
          </w:p>
        </w:tc>
        <w:tc>
          <w:tcPr>
            <w:tcW w:w="688" w:type="dxa"/>
            <w:noWrap/>
            <w:vAlign w:val="center"/>
            <w:hideMark/>
          </w:tcPr>
          <w:p w14:paraId="59B721B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114,69</w:t>
            </w:r>
          </w:p>
        </w:tc>
        <w:tc>
          <w:tcPr>
            <w:tcW w:w="688" w:type="dxa"/>
            <w:noWrap/>
            <w:vAlign w:val="center"/>
            <w:hideMark/>
          </w:tcPr>
          <w:p w14:paraId="6195CE9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129,36</w:t>
            </w:r>
          </w:p>
        </w:tc>
        <w:tc>
          <w:tcPr>
            <w:tcW w:w="688" w:type="dxa"/>
            <w:noWrap/>
            <w:vAlign w:val="center"/>
            <w:hideMark/>
          </w:tcPr>
          <w:p w14:paraId="4B24220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45C8DD49" w14:textId="77777777" w:rsidTr="00512BE3">
        <w:trPr>
          <w:trHeight w:val="300"/>
        </w:trPr>
        <w:tc>
          <w:tcPr>
            <w:tcW w:w="782" w:type="dxa"/>
            <w:noWrap/>
            <w:vAlign w:val="center"/>
            <w:hideMark/>
          </w:tcPr>
          <w:p w14:paraId="2270052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717211</w:t>
            </w:r>
          </w:p>
        </w:tc>
        <w:tc>
          <w:tcPr>
            <w:tcW w:w="2081" w:type="dxa"/>
            <w:noWrap/>
            <w:vAlign w:val="center"/>
            <w:hideMark/>
          </w:tcPr>
          <w:p w14:paraId="3E82359B"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 xml:space="preserve">PDV obaveza prema PDV prijavama * </w:t>
            </w:r>
          </w:p>
        </w:tc>
        <w:tc>
          <w:tcPr>
            <w:tcW w:w="1424" w:type="dxa"/>
            <w:noWrap/>
            <w:vAlign w:val="center"/>
            <w:hideMark/>
          </w:tcPr>
          <w:p w14:paraId="244F5AF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2.266.153.483,88</w:t>
            </w:r>
          </w:p>
        </w:tc>
        <w:tc>
          <w:tcPr>
            <w:tcW w:w="1295" w:type="dxa"/>
            <w:vAlign w:val="center"/>
            <w:hideMark/>
          </w:tcPr>
          <w:p w14:paraId="13629A6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185.139.797,09</w:t>
            </w:r>
          </w:p>
        </w:tc>
        <w:tc>
          <w:tcPr>
            <w:tcW w:w="1295" w:type="dxa"/>
            <w:vAlign w:val="center"/>
            <w:hideMark/>
          </w:tcPr>
          <w:p w14:paraId="48C9B92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208.152.392,95</w:t>
            </w:r>
          </w:p>
        </w:tc>
        <w:tc>
          <w:tcPr>
            <w:tcW w:w="1424" w:type="dxa"/>
            <w:noWrap/>
            <w:vAlign w:val="center"/>
            <w:hideMark/>
          </w:tcPr>
          <w:p w14:paraId="7DD2052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2.463.435.328,22</w:t>
            </w:r>
          </w:p>
        </w:tc>
        <w:tc>
          <w:tcPr>
            <w:tcW w:w="688" w:type="dxa"/>
            <w:noWrap/>
            <w:vAlign w:val="center"/>
            <w:hideMark/>
          </w:tcPr>
          <w:p w14:paraId="7D1CBB8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112,43</w:t>
            </w:r>
          </w:p>
        </w:tc>
        <w:tc>
          <w:tcPr>
            <w:tcW w:w="688" w:type="dxa"/>
            <w:noWrap/>
            <w:vAlign w:val="center"/>
            <w:hideMark/>
          </w:tcPr>
          <w:p w14:paraId="525213F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108,71</w:t>
            </w:r>
          </w:p>
        </w:tc>
        <w:tc>
          <w:tcPr>
            <w:tcW w:w="688" w:type="dxa"/>
            <w:noWrap/>
            <w:vAlign w:val="center"/>
            <w:hideMark/>
          </w:tcPr>
          <w:p w14:paraId="31D4A4F3"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6276E0D0" w14:textId="77777777" w:rsidTr="00512BE3">
        <w:trPr>
          <w:trHeight w:val="300"/>
        </w:trPr>
        <w:tc>
          <w:tcPr>
            <w:tcW w:w="782" w:type="dxa"/>
            <w:noWrap/>
            <w:vAlign w:val="center"/>
            <w:hideMark/>
          </w:tcPr>
          <w:p w14:paraId="45DE1FA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717213</w:t>
            </w:r>
          </w:p>
        </w:tc>
        <w:tc>
          <w:tcPr>
            <w:tcW w:w="2081" w:type="dxa"/>
            <w:noWrap/>
            <w:vAlign w:val="center"/>
            <w:hideMark/>
          </w:tcPr>
          <w:p w14:paraId="7570ECE2"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PDV prema automatskom razrezu od strane UIO</w:t>
            </w:r>
          </w:p>
        </w:tc>
        <w:tc>
          <w:tcPr>
            <w:tcW w:w="1424" w:type="dxa"/>
            <w:noWrap/>
            <w:vAlign w:val="center"/>
            <w:hideMark/>
          </w:tcPr>
          <w:p w14:paraId="083C822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82.336,27</w:t>
            </w:r>
          </w:p>
        </w:tc>
        <w:tc>
          <w:tcPr>
            <w:tcW w:w="1295" w:type="dxa"/>
            <w:vAlign w:val="center"/>
            <w:hideMark/>
          </w:tcPr>
          <w:p w14:paraId="145ADDB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3.881,61</w:t>
            </w:r>
          </w:p>
        </w:tc>
        <w:tc>
          <w:tcPr>
            <w:tcW w:w="1295" w:type="dxa"/>
            <w:vAlign w:val="center"/>
            <w:hideMark/>
          </w:tcPr>
          <w:p w14:paraId="7CF8F93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4.198,17</w:t>
            </w:r>
          </w:p>
        </w:tc>
        <w:tc>
          <w:tcPr>
            <w:tcW w:w="1424" w:type="dxa"/>
            <w:noWrap/>
            <w:vAlign w:val="center"/>
            <w:hideMark/>
          </w:tcPr>
          <w:p w14:paraId="767CB7B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83.673,12</w:t>
            </w:r>
          </w:p>
        </w:tc>
        <w:tc>
          <w:tcPr>
            <w:tcW w:w="688" w:type="dxa"/>
            <w:noWrap/>
            <w:vAlign w:val="center"/>
            <w:hideMark/>
          </w:tcPr>
          <w:p w14:paraId="29A115D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3CFA6A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703954C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7CEEFBE" w14:textId="77777777" w:rsidTr="00512BE3">
        <w:trPr>
          <w:trHeight w:val="300"/>
        </w:trPr>
        <w:tc>
          <w:tcPr>
            <w:tcW w:w="782" w:type="dxa"/>
            <w:noWrap/>
            <w:vAlign w:val="center"/>
            <w:hideMark/>
          </w:tcPr>
          <w:p w14:paraId="059B692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717214</w:t>
            </w:r>
          </w:p>
        </w:tc>
        <w:tc>
          <w:tcPr>
            <w:tcW w:w="2081" w:type="dxa"/>
            <w:noWrap/>
            <w:vAlign w:val="center"/>
            <w:hideMark/>
          </w:tcPr>
          <w:p w14:paraId="361DABA0"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PDV - jednokratne uplate</w:t>
            </w:r>
          </w:p>
        </w:tc>
        <w:tc>
          <w:tcPr>
            <w:tcW w:w="1424" w:type="dxa"/>
            <w:noWrap/>
            <w:vAlign w:val="center"/>
            <w:hideMark/>
          </w:tcPr>
          <w:p w14:paraId="2B4DE44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1.984.044,62</w:t>
            </w:r>
          </w:p>
        </w:tc>
        <w:tc>
          <w:tcPr>
            <w:tcW w:w="1295" w:type="dxa"/>
            <w:vAlign w:val="center"/>
            <w:hideMark/>
          </w:tcPr>
          <w:p w14:paraId="663B58C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138.701,72</w:t>
            </w:r>
          </w:p>
        </w:tc>
        <w:tc>
          <w:tcPr>
            <w:tcW w:w="1295" w:type="dxa"/>
            <w:vAlign w:val="center"/>
            <w:hideMark/>
          </w:tcPr>
          <w:p w14:paraId="0DC8993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149.065,34</w:t>
            </w:r>
          </w:p>
        </w:tc>
        <w:tc>
          <w:tcPr>
            <w:tcW w:w="1424" w:type="dxa"/>
            <w:noWrap/>
            <w:vAlign w:val="center"/>
            <w:hideMark/>
          </w:tcPr>
          <w:p w14:paraId="63AB8AA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1.869.033,18</w:t>
            </w:r>
          </w:p>
        </w:tc>
        <w:tc>
          <w:tcPr>
            <w:tcW w:w="688" w:type="dxa"/>
            <w:noWrap/>
            <w:vAlign w:val="center"/>
            <w:hideMark/>
          </w:tcPr>
          <w:p w14:paraId="46F4270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107,47</w:t>
            </w:r>
          </w:p>
        </w:tc>
        <w:tc>
          <w:tcPr>
            <w:tcW w:w="688" w:type="dxa"/>
            <w:noWrap/>
            <w:vAlign w:val="center"/>
            <w:hideMark/>
          </w:tcPr>
          <w:p w14:paraId="1F8A0E0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94,20</w:t>
            </w:r>
          </w:p>
        </w:tc>
        <w:tc>
          <w:tcPr>
            <w:tcW w:w="688" w:type="dxa"/>
            <w:noWrap/>
            <w:vAlign w:val="center"/>
            <w:hideMark/>
          </w:tcPr>
          <w:p w14:paraId="0E48541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9D85C4D" w14:textId="77777777" w:rsidTr="00512BE3">
        <w:trPr>
          <w:trHeight w:val="300"/>
        </w:trPr>
        <w:tc>
          <w:tcPr>
            <w:tcW w:w="782" w:type="dxa"/>
            <w:noWrap/>
            <w:vAlign w:val="center"/>
            <w:hideMark/>
          </w:tcPr>
          <w:p w14:paraId="28D0096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717311</w:t>
            </w:r>
          </w:p>
        </w:tc>
        <w:tc>
          <w:tcPr>
            <w:tcW w:w="2081" w:type="dxa"/>
            <w:noWrap/>
            <w:vAlign w:val="center"/>
            <w:hideMark/>
          </w:tcPr>
          <w:p w14:paraId="5005121A"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PDV - zatezna kamata</w:t>
            </w:r>
          </w:p>
        </w:tc>
        <w:tc>
          <w:tcPr>
            <w:tcW w:w="1424" w:type="dxa"/>
            <w:noWrap/>
            <w:vAlign w:val="center"/>
            <w:hideMark/>
          </w:tcPr>
          <w:p w14:paraId="6D9441F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14.797.440,34</w:t>
            </w:r>
          </w:p>
        </w:tc>
        <w:tc>
          <w:tcPr>
            <w:tcW w:w="1295" w:type="dxa"/>
            <w:vAlign w:val="center"/>
            <w:hideMark/>
          </w:tcPr>
          <w:p w14:paraId="6BB293D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1.816.936,22</w:t>
            </w:r>
          </w:p>
        </w:tc>
        <w:tc>
          <w:tcPr>
            <w:tcW w:w="1295" w:type="dxa"/>
            <w:vAlign w:val="center"/>
            <w:hideMark/>
          </w:tcPr>
          <w:p w14:paraId="3CDF72E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1.349.361,94</w:t>
            </w:r>
          </w:p>
        </w:tc>
        <w:tc>
          <w:tcPr>
            <w:tcW w:w="1424" w:type="dxa"/>
            <w:noWrap/>
            <w:vAlign w:val="center"/>
            <w:hideMark/>
          </w:tcPr>
          <w:p w14:paraId="6347FE3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14.484.037,10</w:t>
            </w:r>
          </w:p>
        </w:tc>
        <w:tc>
          <w:tcPr>
            <w:tcW w:w="688" w:type="dxa"/>
            <w:noWrap/>
            <w:vAlign w:val="center"/>
            <w:hideMark/>
          </w:tcPr>
          <w:p w14:paraId="5BF0F00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74,27</w:t>
            </w:r>
          </w:p>
        </w:tc>
        <w:tc>
          <w:tcPr>
            <w:tcW w:w="688" w:type="dxa"/>
            <w:noWrap/>
            <w:vAlign w:val="center"/>
            <w:hideMark/>
          </w:tcPr>
          <w:p w14:paraId="453436A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97,88</w:t>
            </w:r>
          </w:p>
        </w:tc>
        <w:tc>
          <w:tcPr>
            <w:tcW w:w="688" w:type="dxa"/>
            <w:noWrap/>
            <w:vAlign w:val="center"/>
            <w:hideMark/>
          </w:tcPr>
          <w:p w14:paraId="7F214170"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81E4558" w14:textId="77777777" w:rsidTr="00512BE3">
        <w:trPr>
          <w:trHeight w:val="300"/>
        </w:trPr>
        <w:tc>
          <w:tcPr>
            <w:tcW w:w="782" w:type="dxa"/>
            <w:noWrap/>
            <w:vAlign w:val="center"/>
            <w:hideMark/>
          </w:tcPr>
          <w:p w14:paraId="3C59BE2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717312</w:t>
            </w:r>
          </w:p>
        </w:tc>
        <w:tc>
          <w:tcPr>
            <w:tcW w:w="2081" w:type="dxa"/>
            <w:noWrap/>
            <w:vAlign w:val="center"/>
            <w:hideMark/>
          </w:tcPr>
          <w:p w14:paraId="59DFCEC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Kazne za prekršaje shodno odredbama Zakona o PDV-u</w:t>
            </w:r>
          </w:p>
        </w:tc>
        <w:tc>
          <w:tcPr>
            <w:tcW w:w="1424" w:type="dxa"/>
            <w:noWrap/>
            <w:vAlign w:val="center"/>
            <w:hideMark/>
          </w:tcPr>
          <w:p w14:paraId="7A0BA8F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3.222.389,35</w:t>
            </w:r>
          </w:p>
        </w:tc>
        <w:tc>
          <w:tcPr>
            <w:tcW w:w="1295" w:type="dxa"/>
            <w:vAlign w:val="center"/>
            <w:hideMark/>
          </w:tcPr>
          <w:p w14:paraId="2C5EDAD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299.115,11</w:t>
            </w:r>
          </w:p>
        </w:tc>
        <w:tc>
          <w:tcPr>
            <w:tcW w:w="1295" w:type="dxa"/>
            <w:vAlign w:val="center"/>
            <w:hideMark/>
          </w:tcPr>
          <w:p w14:paraId="4DFD1C6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317.966,76</w:t>
            </w:r>
          </w:p>
        </w:tc>
        <w:tc>
          <w:tcPr>
            <w:tcW w:w="1424" w:type="dxa"/>
            <w:noWrap/>
            <w:vAlign w:val="center"/>
            <w:hideMark/>
          </w:tcPr>
          <w:p w14:paraId="02386AA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2.970.749,90</w:t>
            </w:r>
          </w:p>
        </w:tc>
        <w:tc>
          <w:tcPr>
            <w:tcW w:w="688" w:type="dxa"/>
            <w:noWrap/>
            <w:vAlign w:val="center"/>
            <w:hideMark/>
          </w:tcPr>
          <w:p w14:paraId="49602F1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106,30</w:t>
            </w:r>
          </w:p>
        </w:tc>
        <w:tc>
          <w:tcPr>
            <w:tcW w:w="688" w:type="dxa"/>
            <w:noWrap/>
            <w:vAlign w:val="center"/>
            <w:hideMark/>
          </w:tcPr>
          <w:p w14:paraId="09FBFF9F"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92,19</w:t>
            </w:r>
          </w:p>
        </w:tc>
        <w:tc>
          <w:tcPr>
            <w:tcW w:w="688" w:type="dxa"/>
            <w:noWrap/>
            <w:vAlign w:val="center"/>
            <w:hideMark/>
          </w:tcPr>
          <w:p w14:paraId="238A34F4"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434951D8" w14:textId="77777777" w:rsidTr="00512BE3">
        <w:trPr>
          <w:trHeight w:val="300"/>
        </w:trPr>
        <w:tc>
          <w:tcPr>
            <w:tcW w:w="782" w:type="dxa"/>
            <w:noWrap/>
            <w:vAlign w:val="center"/>
            <w:hideMark/>
          </w:tcPr>
          <w:p w14:paraId="0C56E62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717314</w:t>
            </w:r>
          </w:p>
        </w:tc>
        <w:tc>
          <w:tcPr>
            <w:tcW w:w="2081" w:type="dxa"/>
            <w:noWrap/>
            <w:vAlign w:val="center"/>
            <w:hideMark/>
          </w:tcPr>
          <w:p w14:paraId="7CC783C9"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Naknadni teret prinude po PDV obavezama</w:t>
            </w:r>
          </w:p>
        </w:tc>
        <w:tc>
          <w:tcPr>
            <w:tcW w:w="1424" w:type="dxa"/>
            <w:noWrap/>
            <w:vAlign w:val="center"/>
            <w:hideMark/>
          </w:tcPr>
          <w:p w14:paraId="0D17A34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4.997.219,08</w:t>
            </w:r>
          </w:p>
        </w:tc>
        <w:tc>
          <w:tcPr>
            <w:tcW w:w="1295" w:type="dxa"/>
            <w:vAlign w:val="center"/>
            <w:hideMark/>
          </w:tcPr>
          <w:p w14:paraId="5EDF3B3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372.057,29</w:t>
            </w:r>
          </w:p>
        </w:tc>
        <w:tc>
          <w:tcPr>
            <w:tcW w:w="1295" w:type="dxa"/>
            <w:vAlign w:val="center"/>
            <w:hideMark/>
          </w:tcPr>
          <w:p w14:paraId="34F0CE0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384.264,58</w:t>
            </w:r>
          </w:p>
        </w:tc>
        <w:tc>
          <w:tcPr>
            <w:tcW w:w="1424" w:type="dxa"/>
            <w:noWrap/>
            <w:vAlign w:val="center"/>
            <w:hideMark/>
          </w:tcPr>
          <w:p w14:paraId="151CE33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4.893.251,18</w:t>
            </w:r>
          </w:p>
        </w:tc>
        <w:tc>
          <w:tcPr>
            <w:tcW w:w="688" w:type="dxa"/>
            <w:noWrap/>
            <w:vAlign w:val="center"/>
            <w:hideMark/>
          </w:tcPr>
          <w:p w14:paraId="1044CA4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103,28</w:t>
            </w:r>
          </w:p>
        </w:tc>
        <w:tc>
          <w:tcPr>
            <w:tcW w:w="688" w:type="dxa"/>
            <w:noWrap/>
            <w:vAlign w:val="center"/>
            <w:hideMark/>
          </w:tcPr>
          <w:p w14:paraId="3A11132F"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97,92</w:t>
            </w:r>
          </w:p>
        </w:tc>
        <w:tc>
          <w:tcPr>
            <w:tcW w:w="688" w:type="dxa"/>
            <w:noWrap/>
            <w:vAlign w:val="center"/>
            <w:hideMark/>
          </w:tcPr>
          <w:p w14:paraId="3C19C28C"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742CC26F" w14:textId="77777777" w:rsidTr="00512BE3">
        <w:trPr>
          <w:trHeight w:val="300"/>
        </w:trPr>
        <w:tc>
          <w:tcPr>
            <w:tcW w:w="782" w:type="dxa"/>
            <w:shd w:val="clear" w:color="auto" w:fill="FBE4D5" w:themeFill="accent2" w:themeFillTint="33"/>
            <w:vAlign w:val="center"/>
            <w:hideMark/>
          </w:tcPr>
          <w:p w14:paraId="6ED5B544" w14:textId="77777777" w:rsidR="006320E2"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2</w:t>
            </w:r>
          </w:p>
        </w:tc>
        <w:tc>
          <w:tcPr>
            <w:tcW w:w="2081" w:type="dxa"/>
            <w:shd w:val="clear" w:color="auto" w:fill="FBE4D5" w:themeFill="accent2" w:themeFillTint="33"/>
            <w:vAlign w:val="center"/>
            <w:hideMark/>
          </w:tcPr>
          <w:p w14:paraId="1797DDD4"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Carinske dažbine, naknade za carinsko evidentiranje i posebne dažbine</w:t>
            </w:r>
          </w:p>
        </w:tc>
        <w:tc>
          <w:tcPr>
            <w:tcW w:w="1424" w:type="dxa"/>
            <w:shd w:val="clear" w:color="auto" w:fill="FBE4D5" w:themeFill="accent2" w:themeFillTint="33"/>
            <w:vAlign w:val="center"/>
            <w:hideMark/>
          </w:tcPr>
          <w:p w14:paraId="3825C5B0"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336.539.851,31</w:t>
            </w:r>
          </w:p>
        </w:tc>
        <w:tc>
          <w:tcPr>
            <w:tcW w:w="1295" w:type="dxa"/>
            <w:shd w:val="clear" w:color="auto" w:fill="FBE4D5" w:themeFill="accent2" w:themeFillTint="33"/>
            <w:vAlign w:val="center"/>
            <w:hideMark/>
          </w:tcPr>
          <w:p w14:paraId="1C1DC93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35.811.812,19</w:t>
            </w:r>
          </w:p>
        </w:tc>
        <w:tc>
          <w:tcPr>
            <w:tcW w:w="1295" w:type="dxa"/>
            <w:shd w:val="clear" w:color="auto" w:fill="FBE4D5" w:themeFill="accent2" w:themeFillTint="33"/>
            <w:vAlign w:val="center"/>
            <w:hideMark/>
          </w:tcPr>
          <w:p w14:paraId="3DBCA8AE"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45.074.855,38</w:t>
            </w:r>
          </w:p>
        </w:tc>
        <w:tc>
          <w:tcPr>
            <w:tcW w:w="1424" w:type="dxa"/>
            <w:shd w:val="clear" w:color="auto" w:fill="FBE4D5" w:themeFill="accent2" w:themeFillTint="33"/>
            <w:vAlign w:val="center"/>
            <w:hideMark/>
          </w:tcPr>
          <w:p w14:paraId="099FFE6B"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442.001.244,14</w:t>
            </w:r>
          </w:p>
        </w:tc>
        <w:tc>
          <w:tcPr>
            <w:tcW w:w="688" w:type="dxa"/>
            <w:shd w:val="clear" w:color="auto" w:fill="FBE4D5" w:themeFill="accent2" w:themeFillTint="33"/>
            <w:noWrap/>
            <w:vAlign w:val="center"/>
            <w:hideMark/>
          </w:tcPr>
          <w:p w14:paraId="59F0153A"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125,87</w:t>
            </w:r>
          </w:p>
        </w:tc>
        <w:tc>
          <w:tcPr>
            <w:tcW w:w="688" w:type="dxa"/>
            <w:shd w:val="clear" w:color="auto" w:fill="FBE4D5" w:themeFill="accent2" w:themeFillTint="33"/>
            <w:noWrap/>
            <w:vAlign w:val="center"/>
            <w:hideMark/>
          </w:tcPr>
          <w:p w14:paraId="6A6B416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131,34</w:t>
            </w:r>
          </w:p>
        </w:tc>
        <w:tc>
          <w:tcPr>
            <w:tcW w:w="688" w:type="dxa"/>
            <w:shd w:val="clear" w:color="auto" w:fill="FBE4D5" w:themeFill="accent2" w:themeFillTint="33"/>
            <w:noWrap/>
            <w:vAlign w:val="center"/>
            <w:hideMark/>
          </w:tcPr>
          <w:p w14:paraId="2FB95633"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4,45</w:t>
            </w:r>
          </w:p>
        </w:tc>
      </w:tr>
      <w:tr w:rsidR="007615B0" w:rsidRPr="00512BE3" w14:paraId="4E4B435A" w14:textId="77777777" w:rsidTr="00512BE3">
        <w:trPr>
          <w:trHeight w:val="300"/>
        </w:trPr>
        <w:tc>
          <w:tcPr>
            <w:tcW w:w="782" w:type="dxa"/>
            <w:vAlign w:val="center"/>
            <w:hideMark/>
          </w:tcPr>
          <w:p w14:paraId="742C095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716111</w:t>
            </w:r>
          </w:p>
        </w:tc>
        <w:tc>
          <w:tcPr>
            <w:tcW w:w="2081" w:type="dxa"/>
            <w:vAlign w:val="center"/>
            <w:hideMark/>
          </w:tcPr>
          <w:p w14:paraId="586F59E5"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Carina od pravnih osoba</w:t>
            </w:r>
          </w:p>
        </w:tc>
        <w:tc>
          <w:tcPr>
            <w:tcW w:w="1424" w:type="dxa"/>
            <w:vAlign w:val="center"/>
            <w:hideMark/>
          </w:tcPr>
          <w:p w14:paraId="42D899C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322.112.730,04</w:t>
            </w:r>
          </w:p>
        </w:tc>
        <w:tc>
          <w:tcPr>
            <w:tcW w:w="1295" w:type="dxa"/>
            <w:vAlign w:val="center"/>
            <w:hideMark/>
          </w:tcPr>
          <w:p w14:paraId="0A91581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34.041.874,37</w:t>
            </w:r>
          </w:p>
        </w:tc>
        <w:tc>
          <w:tcPr>
            <w:tcW w:w="1295" w:type="dxa"/>
            <w:vAlign w:val="center"/>
            <w:hideMark/>
          </w:tcPr>
          <w:p w14:paraId="04ED458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42.199.110,07</w:t>
            </w:r>
          </w:p>
        </w:tc>
        <w:tc>
          <w:tcPr>
            <w:tcW w:w="1424" w:type="dxa"/>
            <w:vAlign w:val="center"/>
            <w:hideMark/>
          </w:tcPr>
          <w:p w14:paraId="1D91C18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419.720.732,76</w:t>
            </w:r>
          </w:p>
        </w:tc>
        <w:tc>
          <w:tcPr>
            <w:tcW w:w="688" w:type="dxa"/>
            <w:noWrap/>
            <w:vAlign w:val="center"/>
            <w:hideMark/>
          </w:tcPr>
          <w:p w14:paraId="7BB9742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123,96</w:t>
            </w:r>
          </w:p>
        </w:tc>
        <w:tc>
          <w:tcPr>
            <w:tcW w:w="688" w:type="dxa"/>
            <w:noWrap/>
            <w:vAlign w:val="center"/>
            <w:hideMark/>
          </w:tcPr>
          <w:p w14:paraId="14AA443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130,30</w:t>
            </w:r>
          </w:p>
        </w:tc>
        <w:tc>
          <w:tcPr>
            <w:tcW w:w="688" w:type="dxa"/>
            <w:noWrap/>
            <w:vAlign w:val="center"/>
            <w:hideMark/>
          </w:tcPr>
          <w:p w14:paraId="63083E4F"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3C76541" w14:textId="77777777" w:rsidTr="00512BE3">
        <w:trPr>
          <w:trHeight w:val="300"/>
        </w:trPr>
        <w:tc>
          <w:tcPr>
            <w:tcW w:w="782" w:type="dxa"/>
            <w:vAlign w:val="center"/>
            <w:hideMark/>
          </w:tcPr>
          <w:p w14:paraId="3863A7B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716112</w:t>
            </w:r>
          </w:p>
        </w:tc>
        <w:tc>
          <w:tcPr>
            <w:tcW w:w="2081" w:type="dxa"/>
            <w:vAlign w:val="center"/>
            <w:hideMark/>
          </w:tcPr>
          <w:p w14:paraId="6224FC87"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Carine od građana</w:t>
            </w:r>
          </w:p>
        </w:tc>
        <w:tc>
          <w:tcPr>
            <w:tcW w:w="1424" w:type="dxa"/>
            <w:vAlign w:val="center"/>
            <w:hideMark/>
          </w:tcPr>
          <w:p w14:paraId="3FF8AEF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4.847.136,59</w:t>
            </w:r>
          </w:p>
        </w:tc>
        <w:tc>
          <w:tcPr>
            <w:tcW w:w="1295" w:type="dxa"/>
            <w:vAlign w:val="center"/>
            <w:hideMark/>
          </w:tcPr>
          <w:p w14:paraId="425D377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469.186,72</w:t>
            </w:r>
          </w:p>
        </w:tc>
        <w:tc>
          <w:tcPr>
            <w:tcW w:w="1295" w:type="dxa"/>
            <w:vAlign w:val="center"/>
            <w:hideMark/>
          </w:tcPr>
          <w:p w14:paraId="0D257BC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1.701.959,94</w:t>
            </w:r>
          </w:p>
        </w:tc>
        <w:tc>
          <w:tcPr>
            <w:tcW w:w="1424" w:type="dxa"/>
            <w:vAlign w:val="center"/>
            <w:hideMark/>
          </w:tcPr>
          <w:p w14:paraId="7209D62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11.973.121,36</w:t>
            </w:r>
          </w:p>
        </w:tc>
        <w:tc>
          <w:tcPr>
            <w:tcW w:w="688" w:type="dxa"/>
            <w:noWrap/>
            <w:vAlign w:val="center"/>
            <w:hideMark/>
          </w:tcPr>
          <w:p w14:paraId="7E68BE9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362,75</w:t>
            </w:r>
          </w:p>
        </w:tc>
        <w:tc>
          <w:tcPr>
            <w:tcW w:w="688" w:type="dxa"/>
            <w:noWrap/>
            <w:vAlign w:val="center"/>
            <w:hideMark/>
          </w:tcPr>
          <w:p w14:paraId="136400B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247,01</w:t>
            </w:r>
          </w:p>
        </w:tc>
        <w:tc>
          <w:tcPr>
            <w:tcW w:w="688" w:type="dxa"/>
            <w:noWrap/>
            <w:vAlign w:val="center"/>
            <w:hideMark/>
          </w:tcPr>
          <w:p w14:paraId="7E7C5B4C"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27567CFD" w14:textId="77777777" w:rsidTr="00512BE3">
        <w:trPr>
          <w:trHeight w:val="300"/>
        </w:trPr>
        <w:tc>
          <w:tcPr>
            <w:tcW w:w="782" w:type="dxa"/>
            <w:vAlign w:val="center"/>
            <w:hideMark/>
          </w:tcPr>
          <w:p w14:paraId="13841EC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716113</w:t>
            </w:r>
          </w:p>
        </w:tc>
        <w:tc>
          <w:tcPr>
            <w:tcW w:w="2081" w:type="dxa"/>
            <w:vAlign w:val="center"/>
            <w:hideMark/>
          </w:tcPr>
          <w:p w14:paraId="4E9E23B8"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Carinsko evidentiranje</w:t>
            </w:r>
          </w:p>
        </w:tc>
        <w:tc>
          <w:tcPr>
            <w:tcW w:w="1424" w:type="dxa"/>
            <w:vAlign w:val="center"/>
            <w:hideMark/>
          </w:tcPr>
          <w:p w14:paraId="23CD18B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10.549,30</w:t>
            </w:r>
          </w:p>
        </w:tc>
        <w:tc>
          <w:tcPr>
            <w:tcW w:w="1295" w:type="dxa"/>
            <w:vAlign w:val="center"/>
            <w:hideMark/>
          </w:tcPr>
          <w:p w14:paraId="0E3B152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46,93</w:t>
            </w:r>
          </w:p>
        </w:tc>
        <w:tc>
          <w:tcPr>
            <w:tcW w:w="1295" w:type="dxa"/>
            <w:vAlign w:val="center"/>
            <w:hideMark/>
          </w:tcPr>
          <w:p w14:paraId="0BA6603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10,32</w:t>
            </w:r>
          </w:p>
        </w:tc>
        <w:tc>
          <w:tcPr>
            <w:tcW w:w="1424" w:type="dxa"/>
            <w:vAlign w:val="center"/>
            <w:hideMark/>
          </w:tcPr>
          <w:p w14:paraId="08C6E86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232,90</w:t>
            </w:r>
          </w:p>
        </w:tc>
        <w:tc>
          <w:tcPr>
            <w:tcW w:w="688" w:type="dxa"/>
            <w:noWrap/>
            <w:vAlign w:val="center"/>
            <w:hideMark/>
          </w:tcPr>
          <w:p w14:paraId="51CF05B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E1A59A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3EF1DC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6F8C8AD" w14:textId="77777777" w:rsidTr="00512BE3">
        <w:trPr>
          <w:trHeight w:val="300"/>
        </w:trPr>
        <w:tc>
          <w:tcPr>
            <w:tcW w:w="782" w:type="dxa"/>
            <w:vAlign w:val="center"/>
            <w:hideMark/>
          </w:tcPr>
          <w:p w14:paraId="3C05CF0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716114</w:t>
            </w:r>
          </w:p>
        </w:tc>
        <w:tc>
          <w:tcPr>
            <w:tcW w:w="2081" w:type="dxa"/>
            <w:vAlign w:val="center"/>
            <w:hideMark/>
          </w:tcPr>
          <w:p w14:paraId="45E30BB7"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Carina po jedinici mjere</w:t>
            </w:r>
          </w:p>
        </w:tc>
        <w:tc>
          <w:tcPr>
            <w:tcW w:w="1424" w:type="dxa"/>
            <w:vAlign w:val="center"/>
            <w:hideMark/>
          </w:tcPr>
          <w:p w14:paraId="324547B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9.569.435,38</w:t>
            </w:r>
          </w:p>
        </w:tc>
        <w:tc>
          <w:tcPr>
            <w:tcW w:w="1295" w:type="dxa"/>
            <w:vAlign w:val="center"/>
            <w:hideMark/>
          </w:tcPr>
          <w:p w14:paraId="26DD285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1.300.704,17</w:t>
            </w:r>
          </w:p>
        </w:tc>
        <w:tc>
          <w:tcPr>
            <w:tcW w:w="1295" w:type="dxa"/>
            <w:vAlign w:val="center"/>
            <w:hideMark/>
          </w:tcPr>
          <w:p w14:paraId="0D60C0C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1.173.775,05</w:t>
            </w:r>
          </w:p>
        </w:tc>
        <w:tc>
          <w:tcPr>
            <w:tcW w:w="1424" w:type="dxa"/>
            <w:vAlign w:val="center"/>
            <w:hideMark/>
          </w:tcPr>
          <w:p w14:paraId="53CFACB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10.307.157,12</w:t>
            </w:r>
          </w:p>
        </w:tc>
        <w:tc>
          <w:tcPr>
            <w:tcW w:w="688" w:type="dxa"/>
            <w:noWrap/>
            <w:vAlign w:val="center"/>
            <w:hideMark/>
          </w:tcPr>
          <w:p w14:paraId="6120D07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2E9B6ED"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107,71</w:t>
            </w:r>
          </w:p>
        </w:tc>
        <w:tc>
          <w:tcPr>
            <w:tcW w:w="688" w:type="dxa"/>
            <w:noWrap/>
            <w:vAlign w:val="center"/>
            <w:hideMark/>
          </w:tcPr>
          <w:p w14:paraId="1B1B7233"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6143C1CB" w14:textId="77777777" w:rsidTr="00512BE3">
        <w:trPr>
          <w:trHeight w:val="300"/>
        </w:trPr>
        <w:tc>
          <w:tcPr>
            <w:tcW w:w="782" w:type="dxa"/>
            <w:vAlign w:val="center"/>
            <w:hideMark/>
          </w:tcPr>
          <w:p w14:paraId="1137468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716115</w:t>
            </w:r>
          </w:p>
        </w:tc>
        <w:tc>
          <w:tcPr>
            <w:tcW w:w="2081" w:type="dxa"/>
            <w:vAlign w:val="center"/>
            <w:hideMark/>
          </w:tcPr>
          <w:p w14:paraId="10996CEE"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Posebna taksa na izvezenu robu</w:t>
            </w:r>
          </w:p>
        </w:tc>
        <w:tc>
          <w:tcPr>
            <w:tcW w:w="1424" w:type="dxa"/>
            <w:vAlign w:val="center"/>
            <w:hideMark/>
          </w:tcPr>
          <w:p w14:paraId="68F4AFA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0E03F85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495B8E9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vAlign w:val="center"/>
            <w:hideMark/>
          </w:tcPr>
          <w:p w14:paraId="587A981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722984A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3DD2830F"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FFABD7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775B99B2" w14:textId="77777777" w:rsidTr="00512BE3">
        <w:trPr>
          <w:trHeight w:val="300"/>
        </w:trPr>
        <w:tc>
          <w:tcPr>
            <w:tcW w:w="782" w:type="dxa"/>
            <w:shd w:val="clear" w:color="auto" w:fill="FFD966" w:themeFill="accent4" w:themeFillTint="99"/>
            <w:noWrap/>
            <w:vAlign w:val="center"/>
            <w:hideMark/>
          </w:tcPr>
          <w:p w14:paraId="7F6E65BB" w14:textId="77777777" w:rsidR="006320E2"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3</w:t>
            </w:r>
          </w:p>
        </w:tc>
        <w:tc>
          <w:tcPr>
            <w:tcW w:w="2081" w:type="dxa"/>
            <w:shd w:val="clear" w:color="auto" w:fill="FFD966" w:themeFill="accent4" w:themeFillTint="99"/>
            <w:vAlign w:val="center"/>
            <w:hideMark/>
          </w:tcPr>
          <w:p w14:paraId="4941A0BB"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Akciza na uvozne proizvode</w:t>
            </w:r>
          </w:p>
        </w:tc>
        <w:tc>
          <w:tcPr>
            <w:tcW w:w="1424" w:type="dxa"/>
            <w:shd w:val="clear" w:color="auto" w:fill="FFD966" w:themeFill="accent4" w:themeFillTint="99"/>
            <w:noWrap/>
            <w:vAlign w:val="center"/>
            <w:hideMark/>
          </w:tcPr>
          <w:p w14:paraId="75C0120D"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1.398.787.223,77</w:t>
            </w:r>
          </w:p>
        </w:tc>
        <w:tc>
          <w:tcPr>
            <w:tcW w:w="1295" w:type="dxa"/>
            <w:shd w:val="clear" w:color="auto" w:fill="FFD966" w:themeFill="accent4" w:themeFillTint="99"/>
            <w:noWrap/>
            <w:vAlign w:val="center"/>
            <w:hideMark/>
          </w:tcPr>
          <w:p w14:paraId="6481810B"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122.299.984,55</w:t>
            </w:r>
          </w:p>
        </w:tc>
        <w:tc>
          <w:tcPr>
            <w:tcW w:w="1295" w:type="dxa"/>
            <w:shd w:val="clear" w:color="auto" w:fill="FFD966" w:themeFill="accent4" w:themeFillTint="99"/>
            <w:vAlign w:val="center"/>
            <w:hideMark/>
          </w:tcPr>
          <w:p w14:paraId="57407ACE"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101.814.852,28</w:t>
            </w:r>
          </w:p>
        </w:tc>
        <w:tc>
          <w:tcPr>
            <w:tcW w:w="1424" w:type="dxa"/>
            <w:shd w:val="clear" w:color="auto" w:fill="FFD966" w:themeFill="accent4" w:themeFillTint="99"/>
            <w:vAlign w:val="center"/>
            <w:hideMark/>
          </w:tcPr>
          <w:p w14:paraId="5FB41BAF"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1.560.142.263,76</w:t>
            </w:r>
          </w:p>
        </w:tc>
        <w:tc>
          <w:tcPr>
            <w:tcW w:w="688" w:type="dxa"/>
            <w:shd w:val="clear" w:color="auto" w:fill="FFD966" w:themeFill="accent4" w:themeFillTint="99"/>
            <w:noWrap/>
            <w:vAlign w:val="center"/>
            <w:hideMark/>
          </w:tcPr>
          <w:p w14:paraId="1B96E32A"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83,25</w:t>
            </w:r>
          </w:p>
        </w:tc>
        <w:tc>
          <w:tcPr>
            <w:tcW w:w="688" w:type="dxa"/>
            <w:shd w:val="clear" w:color="auto" w:fill="FFD966" w:themeFill="accent4" w:themeFillTint="99"/>
            <w:noWrap/>
            <w:vAlign w:val="center"/>
            <w:hideMark/>
          </w:tcPr>
          <w:p w14:paraId="06958CE4"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111,54</w:t>
            </w:r>
          </w:p>
        </w:tc>
        <w:tc>
          <w:tcPr>
            <w:tcW w:w="688" w:type="dxa"/>
            <w:shd w:val="clear" w:color="auto" w:fill="FFD966" w:themeFill="accent4" w:themeFillTint="99"/>
            <w:noWrap/>
            <w:vAlign w:val="center"/>
            <w:hideMark/>
          </w:tcPr>
          <w:p w14:paraId="324AB702"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15,72</w:t>
            </w:r>
          </w:p>
        </w:tc>
      </w:tr>
      <w:tr w:rsidR="007615B0" w:rsidRPr="00512BE3" w14:paraId="64FD7655" w14:textId="77777777" w:rsidTr="00512BE3">
        <w:trPr>
          <w:trHeight w:val="300"/>
        </w:trPr>
        <w:tc>
          <w:tcPr>
            <w:tcW w:w="782" w:type="dxa"/>
            <w:noWrap/>
            <w:vAlign w:val="center"/>
            <w:hideMark/>
          </w:tcPr>
          <w:p w14:paraId="102436E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715421</w:t>
            </w:r>
          </w:p>
        </w:tc>
        <w:tc>
          <w:tcPr>
            <w:tcW w:w="2081" w:type="dxa"/>
            <w:vAlign w:val="center"/>
            <w:hideMark/>
          </w:tcPr>
          <w:p w14:paraId="585C0647"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naftu i naftne derivate</w:t>
            </w:r>
          </w:p>
        </w:tc>
        <w:tc>
          <w:tcPr>
            <w:tcW w:w="1424" w:type="dxa"/>
            <w:noWrap/>
            <w:vAlign w:val="center"/>
            <w:hideMark/>
          </w:tcPr>
          <w:p w14:paraId="5D69A60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531.174.868,60</w:t>
            </w:r>
          </w:p>
        </w:tc>
        <w:tc>
          <w:tcPr>
            <w:tcW w:w="1295" w:type="dxa"/>
            <w:vAlign w:val="center"/>
            <w:hideMark/>
          </w:tcPr>
          <w:p w14:paraId="3912A13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45.388.397,90</w:t>
            </w:r>
          </w:p>
        </w:tc>
        <w:tc>
          <w:tcPr>
            <w:tcW w:w="1295" w:type="dxa"/>
            <w:vAlign w:val="center"/>
            <w:hideMark/>
          </w:tcPr>
          <w:p w14:paraId="1ABFE34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44.000.082,48</w:t>
            </w:r>
          </w:p>
        </w:tc>
        <w:tc>
          <w:tcPr>
            <w:tcW w:w="1424" w:type="dxa"/>
            <w:noWrap/>
            <w:vAlign w:val="center"/>
            <w:hideMark/>
          </w:tcPr>
          <w:p w14:paraId="4E7EA68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509.726.486,98</w:t>
            </w:r>
          </w:p>
        </w:tc>
        <w:tc>
          <w:tcPr>
            <w:tcW w:w="688" w:type="dxa"/>
            <w:noWrap/>
            <w:vAlign w:val="center"/>
            <w:hideMark/>
          </w:tcPr>
          <w:p w14:paraId="6BC8834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96,94</w:t>
            </w:r>
          </w:p>
        </w:tc>
        <w:tc>
          <w:tcPr>
            <w:tcW w:w="688" w:type="dxa"/>
            <w:noWrap/>
            <w:vAlign w:val="center"/>
            <w:hideMark/>
          </w:tcPr>
          <w:p w14:paraId="0661380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95,96</w:t>
            </w:r>
          </w:p>
        </w:tc>
        <w:tc>
          <w:tcPr>
            <w:tcW w:w="688" w:type="dxa"/>
            <w:noWrap/>
            <w:vAlign w:val="center"/>
            <w:hideMark/>
          </w:tcPr>
          <w:p w14:paraId="5AAE1F8E"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738D0B02" w14:textId="77777777" w:rsidTr="00512BE3">
        <w:trPr>
          <w:trHeight w:val="300"/>
        </w:trPr>
        <w:tc>
          <w:tcPr>
            <w:tcW w:w="782" w:type="dxa"/>
            <w:noWrap/>
            <w:vAlign w:val="center"/>
            <w:hideMark/>
          </w:tcPr>
          <w:p w14:paraId="6AB17C5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715422</w:t>
            </w:r>
          </w:p>
        </w:tc>
        <w:tc>
          <w:tcPr>
            <w:tcW w:w="2081" w:type="dxa"/>
            <w:vAlign w:val="center"/>
            <w:hideMark/>
          </w:tcPr>
          <w:p w14:paraId="35FCBB53"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duvanske prerađevine</w:t>
            </w:r>
          </w:p>
        </w:tc>
        <w:tc>
          <w:tcPr>
            <w:tcW w:w="1424" w:type="dxa"/>
            <w:noWrap/>
            <w:vAlign w:val="center"/>
            <w:hideMark/>
          </w:tcPr>
          <w:p w14:paraId="3BAB3A3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757.904.955,97</w:t>
            </w:r>
          </w:p>
        </w:tc>
        <w:tc>
          <w:tcPr>
            <w:tcW w:w="1295" w:type="dxa"/>
            <w:vAlign w:val="center"/>
            <w:hideMark/>
          </w:tcPr>
          <w:p w14:paraId="32E437E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65.984.408,60</w:t>
            </w:r>
          </w:p>
        </w:tc>
        <w:tc>
          <w:tcPr>
            <w:tcW w:w="1295" w:type="dxa"/>
            <w:vAlign w:val="center"/>
            <w:hideMark/>
          </w:tcPr>
          <w:p w14:paraId="7840708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46.158.909,90</w:t>
            </w:r>
          </w:p>
        </w:tc>
        <w:tc>
          <w:tcPr>
            <w:tcW w:w="1424" w:type="dxa"/>
            <w:noWrap/>
            <w:vAlign w:val="center"/>
            <w:hideMark/>
          </w:tcPr>
          <w:p w14:paraId="5B2ACBC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934.868.447,91</w:t>
            </w:r>
          </w:p>
        </w:tc>
        <w:tc>
          <w:tcPr>
            <w:tcW w:w="688" w:type="dxa"/>
            <w:noWrap/>
            <w:vAlign w:val="center"/>
            <w:hideMark/>
          </w:tcPr>
          <w:p w14:paraId="13D97DF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69,95</w:t>
            </w:r>
          </w:p>
        </w:tc>
        <w:tc>
          <w:tcPr>
            <w:tcW w:w="688" w:type="dxa"/>
            <w:noWrap/>
            <w:vAlign w:val="center"/>
            <w:hideMark/>
          </w:tcPr>
          <w:p w14:paraId="19C26EA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123,35</w:t>
            </w:r>
          </w:p>
        </w:tc>
        <w:tc>
          <w:tcPr>
            <w:tcW w:w="688" w:type="dxa"/>
            <w:noWrap/>
            <w:vAlign w:val="center"/>
            <w:hideMark/>
          </w:tcPr>
          <w:p w14:paraId="531BFB8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DC97B2F" w14:textId="77777777" w:rsidTr="00512BE3">
        <w:trPr>
          <w:trHeight w:val="300"/>
        </w:trPr>
        <w:tc>
          <w:tcPr>
            <w:tcW w:w="782" w:type="dxa"/>
            <w:noWrap/>
            <w:vAlign w:val="center"/>
            <w:hideMark/>
          </w:tcPr>
          <w:p w14:paraId="04EC48F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715423</w:t>
            </w:r>
          </w:p>
        </w:tc>
        <w:tc>
          <w:tcPr>
            <w:tcW w:w="2081" w:type="dxa"/>
            <w:noWrap/>
            <w:vAlign w:val="center"/>
            <w:hideMark/>
          </w:tcPr>
          <w:p w14:paraId="77B6C06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alkohol i alkoholna pića</w:t>
            </w:r>
          </w:p>
        </w:tc>
        <w:tc>
          <w:tcPr>
            <w:tcW w:w="1424" w:type="dxa"/>
            <w:noWrap/>
            <w:vAlign w:val="center"/>
            <w:hideMark/>
          </w:tcPr>
          <w:p w14:paraId="38FF34F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25.755.373,28</w:t>
            </w:r>
          </w:p>
        </w:tc>
        <w:tc>
          <w:tcPr>
            <w:tcW w:w="1295" w:type="dxa"/>
            <w:vAlign w:val="center"/>
            <w:hideMark/>
          </w:tcPr>
          <w:p w14:paraId="31A0892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3.646.359,07</w:t>
            </w:r>
          </w:p>
        </w:tc>
        <w:tc>
          <w:tcPr>
            <w:tcW w:w="1295" w:type="dxa"/>
            <w:vAlign w:val="center"/>
            <w:hideMark/>
          </w:tcPr>
          <w:p w14:paraId="76BB772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4.153.601,26</w:t>
            </w:r>
          </w:p>
        </w:tc>
        <w:tc>
          <w:tcPr>
            <w:tcW w:w="1424" w:type="dxa"/>
            <w:noWrap/>
            <w:vAlign w:val="center"/>
            <w:hideMark/>
          </w:tcPr>
          <w:p w14:paraId="10D83F3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30.006.582,54</w:t>
            </w:r>
          </w:p>
        </w:tc>
        <w:tc>
          <w:tcPr>
            <w:tcW w:w="688" w:type="dxa"/>
            <w:noWrap/>
            <w:vAlign w:val="center"/>
            <w:hideMark/>
          </w:tcPr>
          <w:p w14:paraId="52FEAFB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113,91</w:t>
            </w:r>
          </w:p>
        </w:tc>
        <w:tc>
          <w:tcPr>
            <w:tcW w:w="688" w:type="dxa"/>
            <w:noWrap/>
            <w:vAlign w:val="center"/>
            <w:hideMark/>
          </w:tcPr>
          <w:p w14:paraId="0FA723C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116,51</w:t>
            </w:r>
          </w:p>
        </w:tc>
        <w:tc>
          <w:tcPr>
            <w:tcW w:w="688" w:type="dxa"/>
            <w:noWrap/>
            <w:vAlign w:val="center"/>
            <w:hideMark/>
          </w:tcPr>
          <w:p w14:paraId="1A1409D2"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138DEB15" w14:textId="77777777" w:rsidTr="00512BE3">
        <w:trPr>
          <w:trHeight w:val="300"/>
        </w:trPr>
        <w:tc>
          <w:tcPr>
            <w:tcW w:w="782" w:type="dxa"/>
            <w:noWrap/>
            <w:vAlign w:val="center"/>
            <w:hideMark/>
          </w:tcPr>
          <w:p w14:paraId="05876EE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715424</w:t>
            </w:r>
          </w:p>
        </w:tc>
        <w:tc>
          <w:tcPr>
            <w:tcW w:w="2081" w:type="dxa"/>
            <w:vAlign w:val="center"/>
            <w:hideMark/>
          </w:tcPr>
          <w:p w14:paraId="37B6499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bezalkoholna pića</w:t>
            </w:r>
          </w:p>
        </w:tc>
        <w:tc>
          <w:tcPr>
            <w:tcW w:w="1424" w:type="dxa"/>
            <w:noWrap/>
            <w:vAlign w:val="center"/>
            <w:hideMark/>
          </w:tcPr>
          <w:p w14:paraId="67311B9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11.021.803,14</w:t>
            </w:r>
          </w:p>
        </w:tc>
        <w:tc>
          <w:tcPr>
            <w:tcW w:w="1295" w:type="dxa"/>
            <w:vAlign w:val="center"/>
            <w:hideMark/>
          </w:tcPr>
          <w:p w14:paraId="61FD2B0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996.484,89</w:t>
            </w:r>
          </w:p>
        </w:tc>
        <w:tc>
          <w:tcPr>
            <w:tcW w:w="1295" w:type="dxa"/>
            <w:vAlign w:val="center"/>
            <w:hideMark/>
          </w:tcPr>
          <w:p w14:paraId="48679E7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1.188.939,52</w:t>
            </w:r>
          </w:p>
        </w:tc>
        <w:tc>
          <w:tcPr>
            <w:tcW w:w="1424" w:type="dxa"/>
            <w:noWrap/>
            <w:vAlign w:val="center"/>
            <w:hideMark/>
          </w:tcPr>
          <w:p w14:paraId="4A36A0D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12.824.101,48</w:t>
            </w:r>
          </w:p>
        </w:tc>
        <w:tc>
          <w:tcPr>
            <w:tcW w:w="688" w:type="dxa"/>
            <w:noWrap/>
            <w:vAlign w:val="center"/>
            <w:hideMark/>
          </w:tcPr>
          <w:p w14:paraId="2CC5CDC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119,31</w:t>
            </w:r>
          </w:p>
        </w:tc>
        <w:tc>
          <w:tcPr>
            <w:tcW w:w="688" w:type="dxa"/>
            <w:noWrap/>
            <w:vAlign w:val="center"/>
            <w:hideMark/>
          </w:tcPr>
          <w:p w14:paraId="3B74D59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116,35</w:t>
            </w:r>
          </w:p>
        </w:tc>
        <w:tc>
          <w:tcPr>
            <w:tcW w:w="688" w:type="dxa"/>
            <w:noWrap/>
            <w:vAlign w:val="center"/>
            <w:hideMark/>
          </w:tcPr>
          <w:p w14:paraId="0C32CA7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7D48C641" w14:textId="77777777" w:rsidTr="00512BE3">
        <w:trPr>
          <w:trHeight w:val="300"/>
        </w:trPr>
        <w:tc>
          <w:tcPr>
            <w:tcW w:w="782" w:type="dxa"/>
            <w:noWrap/>
            <w:vAlign w:val="center"/>
            <w:hideMark/>
          </w:tcPr>
          <w:p w14:paraId="468052C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715425</w:t>
            </w:r>
          </w:p>
        </w:tc>
        <w:tc>
          <w:tcPr>
            <w:tcW w:w="2081" w:type="dxa"/>
            <w:noWrap/>
            <w:vAlign w:val="center"/>
            <w:hideMark/>
          </w:tcPr>
          <w:p w14:paraId="43F4877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pivo</w:t>
            </w:r>
          </w:p>
        </w:tc>
        <w:tc>
          <w:tcPr>
            <w:tcW w:w="1424" w:type="dxa"/>
            <w:noWrap/>
            <w:vAlign w:val="center"/>
            <w:hideMark/>
          </w:tcPr>
          <w:p w14:paraId="16FCCA2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36.112.016,37</w:t>
            </w:r>
          </w:p>
        </w:tc>
        <w:tc>
          <w:tcPr>
            <w:tcW w:w="1295" w:type="dxa"/>
            <w:vAlign w:val="center"/>
            <w:hideMark/>
          </w:tcPr>
          <w:p w14:paraId="7AE3F44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2.954.705,72</w:t>
            </w:r>
          </w:p>
        </w:tc>
        <w:tc>
          <w:tcPr>
            <w:tcW w:w="1295" w:type="dxa"/>
            <w:vAlign w:val="center"/>
            <w:hideMark/>
          </w:tcPr>
          <w:p w14:paraId="1620791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3.269.672,28</w:t>
            </w:r>
          </w:p>
        </w:tc>
        <w:tc>
          <w:tcPr>
            <w:tcW w:w="1424" w:type="dxa"/>
            <w:noWrap/>
            <w:vAlign w:val="center"/>
            <w:hideMark/>
          </w:tcPr>
          <w:p w14:paraId="76D2C4C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38.961.020,70</w:t>
            </w:r>
          </w:p>
        </w:tc>
        <w:tc>
          <w:tcPr>
            <w:tcW w:w="688" w:type="dxa"/>
            <w:noWrap/>
            <w:vAlign w:val="center"/>
            <w:hideMark/>
          </w:tcPr>
          <w:p w14:paraId="0ED389B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110,66</w:t>
            </w:r>
          </w:p>
        </w:tc>
        <w:tc>
          <w:tcPr>
            <w:tcW w:w="688" w:type="dxa"/>
            <w:noWrap/>
            <w:vAlign w:val="center"/>
            <w:hideMark/>
          </w:tcPr>
          <w:p w14:paraId="6457FF4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107,89</w:t>
            </w:r>
          </w:p>
        </w:tc>
        <w:tc>
          <w:tcPr>
            <w:tcW w:w="688" w:type="dxa"/>
            <w:noWrap/>
            <w:vAlign w:val="center"/>
            <w:hideMark/>
          </w:tcPr>
          <w:p w14:paraId="1EE97561"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1231F86" w14:textId="77777777" w:rsidTr="00512BE3">
        <w:trPr>
          <w:trHeight w:val="300"/>
        </w:trPr>
        <w:tc>
          <w:tcPr>
            <w:tcW w:w="782" w:type="dxa"/>
            <w:noWrap/>
            <w:vAlign w:val="center"/>
            <w:hideMark/>
          </w:tcPr>
          <w:p w14:paraId="6BEA986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715426</w:t>
            </w:r>
          </w:p>
        </w:tc>
        <w:tc>
          <w:tcPr>
            <w:tcW w:w="2081" w:type="dxa"/>
            <w:noWrap/>
            <w:vAlign w:val="center"/>
            <w:hideMark/>
          </w:tcPr>
          <w:p w14:paraId="21E5C418"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kafu</w:t>
            </w:r>
          </w:p>
        </w:tc>
        <w:tc>
          <w:tcPr>
            <w:tcW w:w="1424" w:type="dxa"/>
            <w:noWrap/>
            <w:vAlign w:val="center"/>
            <w:hideMark/>
          </w:tcPr>
          <w:p w14:paraId="06A09F5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34.683.329,41</w:t>
            </w:r>
          </w:p>
        </w:tc>
        <w:tc>
          <w:tcPr>
            <w:tcW w:w="1295" w:type="dxa"/>
            <w:vAlign w:val="center"/>
            <w:hideMark/>
          </w:tcPr>
          <w:p w14:paraId="5B0E9A0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2.923.084,87</w:t>
            </w:r>
          </w:p>
        </w:tc>
        <w:tc>
          <w:tcPr>
            <w:tcW w:w="1295" w:type="dxa"/>
            <w:vAlign w:val="center"/>
            <w:hideMark/>
          </w:tcPr>
          <w:p w14:paraId="5A3830A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2.752.395,65</w:t>
            </w:r>
          </w:p>
        </w:tc>
        <w:tc>
          <w:tcPr>
            <w:tcW w:w="1424" w:type="dxa"/>
            <w:noWrap/>
            <w:vAlign w:val="center"/>
            <w:hideMark/>
          </w:tcPr>
          <w:p w14:paraId="38AF20E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31.682.679,80</w:t>
            </w:r>
          </w:p>
        </w:tc>
        <w:tc>
          <w:tcPr>
            <w:tcW w:w="688" w:type="dxa"/>
            <w:noWrap/>
            <w:vAlign w:val="center"/>
            <w:hideMark/>
          </w:tcPr>
          <w:p w14:paraId="318F0F0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94,16</w:t>
            </w:r>
          </w:p>
        </w:tc>
        <w:tc>
          <w:tcPr>
            <w:tcW w:w="688" w:type="dxa"/>
            <w:noWrap/>
            <w:vAlign w:val="center"/>
            <w:hideMark/>
          </w:tcPr>
          <w:p w14:paraId="5840145F"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91,35</w:t>
            </w:r>
          </w:p>
        </w:tc>
        <w:tc>
          <w:tcPr>
            <w:tcW w:w="688" w:type="dxa"/>
            <w:noWrap/>
            <w:vAlign w:val="center"/>
            <w:hideMark/>
          </w:tcPr>
          <w:p w14:paraId="2D5A6D62"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20E24FB" w14:textId="77777777" w:rsidTr="00512BE3">
        <w:trPr>
          <w:trHeight w:val="300"/>
        </w:trPr>
        <w:tc>
          <w:tcPr>
            <w:tcW w:w="782" w:type="dxa"/>
            <w:noWrap/>
            <w:vAlign w:val="center"/>
            <w:hideMark/>
          </w:tcPr>
          <w:p w14:paraId="3B7CFFC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715428</w:t>
            </w:r>
          </w:p>
        </w:tc>
        <w:tc>
          <w:tcPr>
            <w:tcW w:w="2081" w:type="dxa"/>
            <w:noWrap/>
            <w:vAlign w:val="center"/>
            <w:hideMark/>
          </w:tcPr>
          <w:p w14:paraId="456CE2DD"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Zatezna kamata za akcize na uvozne proizvode</w:t>
            </w:r>
          </w:p>
        </w:tc>
        <w:tc>
          <w:tcPr>
            <w:tcW w:w="1424" w:type="dxa"/>
            <w:noWrap/>
            <w:vAlign w:val="center"/>
            <w:hideMark/>
          </w:tcPr>
          <w:p w14:paraId="7D48035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6.920,05</w:t>
            </w:r>
          </w:p>
        </w:tc>
        <w:tc>
          <w:tcPr>
            <w:tcW w:w="1295" w:type="dxa"/>
            <w:vAlign w:val="center"/>
            <w:hideMark/>
          </w:tcPr>
          <w:p w14:paraId="4EB5E0C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97,71</w:t>
            </w:r>
          </w:p>
        </w:tc>
        <w:tc>
          <w:tcPr>
            <w:tcW w:w="1295" w:type="dxa"/>
            <w:vAlign w:val="center"/>
            <w:hideMark/>
          </w:tcPr>
          <w:p w14:paraId="327CEB9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84,69</w:t>
            </w:r>
          </w:p>
        </w:tc>
        <w:tc>
          <w:tcPr>
            <w:tcW w:w="1424" w:type="dxa"/>
            <w:noWrap/>
            <w:vAlign w:val="center"/>
            <w:hideMark/>
          </w:tcPr>
          <w:p w14:paraId="7D67BE2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1.045,89</w:t>
            </w:r>
          </w:p>
        </w:tc>
        <w:tc>
          <w:tcPr>
            <w:tcW w:w="688" w:type="dxa"/>
            <w:noWrap/>
            <w:vAlign w:val="center"/>
            <w:hideMark/>
          </w:tcPr>
          <w:p w14:paraId="0FF6A90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4BF105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30E2A62F"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B9A6542" w14:textId="77777777" w:rsidTr="00512BE3">
        <w:trPr>
          <w:trHeight w:val="300"/>
        </w:trPr>
        <w:tc>
          <w:tcPr>
            <w:tcW w:w="782" w:type="dxa"/>
            <w:noWrap/>
            <w:vAlign w:val="center"/>
            <w:hideMark/>
          </w:tcPr>
          <w:p w14:paraId="73AD64B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715429</w:t>
            </w:r>
          </w:p>
        </w:tc>
        <w:tc>
          <w:tcPr>
            <w:tcW w:w="2081" w:type="dxa"/>
            <w:noWrap/>
            <w:vAlign w:val="center"/>
            <w:hideMark/>
          </w:tcPr>
          <w:p w14:paraId="5DFE58F0"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vino</w:t>
            </w:r>
          </w:p>
        </w:tc>
        <w:tc>
          <w:tcPr>
            <w:tcW w:w="1424" w:type="dxa"/>
            <w:noWrap/>
            <w:vAlign w:val="center"/>
            <w:hideMark/>
          </w:tcPr>
          <w:p w14:paraId="01A6DB7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2.103.691,13</w:t>
            </w:r>
          </w:p>
        </w:tc>
        <w:tc>
          <w:tcPr>
            <w:tcW w:w="1295" w:type="dxa"/>
            <w:vAlign w:val="center"/>
            <w:hideMark/>
          </w:tcPr>
          <w:p w14:paraId="793E036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397.684,89</w:t>
            </w:r>
          </w:p>
        </w:tc>
        <w:tc>
          <w:tcPr>
            <w:tcW w:w="1295" w:type="dxa"/>
            <w:vAlign w:val="center"/>
            <w:hideMark/>
          </w:tcPr>
          <w:p w14:paraId="5B154F7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291.165,60</w:t>
            </w:r>
          </w:p>
        </w:tc>
        <w:tc>
          <w:tcPr>
            <w:tcW w:w="1424" w:type="dxa"/>
            <w:noWrap/>
            <w:vAlign w:val="center"/>
            <w:hideMark/>
          </w:tcPr>
          <w:p w14:paraId="5B96BE3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2.057.302,78</w:t>
            </w:r>
          </w:p>
        </w:tc>
        <w:tc>
          <w:tcPr>
            <w:tcW w:w="688" w:type="dxa"/>
            <w:noWrap/>
            <w:vAlign w:val="center"/>
            <w:hideMark/>
          </w:tcPr>
          <w:p w14:paraId="410CBF2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73,22</w:t>
            </w:r>
          </w:p>
        </w:tc>
        <w:tc>
          <w:tcPr>
            <w:tcW w:w="688" w:type="dxa"/>
            <w:noWrap/>
            <w:vAlign w:val="center"/>
            <w:hideMark/>
          </w:tcPr>
          <w:p w14:paraId="210D9C8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97,79</w:t>
            </w:r>
          </w:p>
        </w:tc>
        <w:tc>
          <w:tcPr>
            <w:tcW w:w="688" w:type="dxa"/>
            <w:noWrap/>
            <w:vAlign w:val="center"/>
            <w:hideMark/>
          </w:tcPr>
          <w:p w14:paraId="223A8F5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7970A39C" w14:textId="77777777" w:rsidTr="00512BE3">
        <w:trPr>
          <w:trHeight w:val="300"/>
        </w:trPr>
        <w:tc>
          <w:tcPr>
            <w:tcW w:w="782" w:type="dxa"/>
            <w:noWrap/>
            <w:vAlign w:val="center"/>
            <w:hideMark/>
          </w:tcPr>
          <w:p w14:paraId="2D2B6E9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715430</w:t>
            </w:r>
          </w:p>
        </w:tc>
        <w:tc>
          <w:tcPr>
            <w:tcW w:w="2081" w:type="dxa"/>
            <w:noWrap/>
            <w:vAlign w:val="center"/>
            <w:hideMark/>
          </w:tcPr>
          <w:p w14:paraId="763E79FC"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biogoriva i biotečnosti</w:t>
            </w:r>
          </w:p>
        </w:tc>
        <w:tc>
          <w:tcPr>
            <w:tcW w:w="1424" w:type="dxa"/>
            <w:noWrap/>
            <w:vAlign w:val="center"/>
            <w:hideMark/>
          </w:tcPr>
          <w:p w14:paraId="55DA9E4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24.265,82</w:t>
            </w:r>
          </w:p>
        </w:tc>
        <w:tc>
          <w:tcPr>
            <w:tcW w:w="1295" w:type="dxa"/>
            <w:vAlign w:val="center"/>
            <w:hideMark/>
          </w:tcPr>
          <w:p w14:paraId="3EF7BD3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8.760,90</w:t>
            </w:r>
          </w:p>
        </w:tc>
        <w:tc>
          <w:tcPr>
            <w:tcW w:w="1295" w:type="dxa"/>
            <w:vAlign w:val="center"/>
            <w:hideMark/>
          </w:tcPr>
          <w:p w14:paraId="412317F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0,90</w:t>
            </w:r>
          </w:p>
        </w:tc>
        <w:tc>
          <w:tcPr>
            <w:tcW w:w="1424" w:type="dxa"/>
            <w:noWrap/>
            <w:vAlign w:val="center"/>
            <w:hideMark/>
          </w:tcPr>
          <w:p w14:paraId="7A5B138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14.595,68</w:t>
            </w:r>
          </w:p>
        </w:tc>
        <w:tc>
          <w:tcPr>
            <w:tcW w:w="688" w:type="dxa"/>
            <w:noWrap/>
            <w:vAlign w:val="center"/>
            <w:hideMark/>
          </w:tcPr>
          <w:p w14:paraId="130A0A9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3456B8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193AA24A"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4992F748" w14:textId="77777777" w:rsidTr="00512BE3">
        <w:trPr>
          <w:trHeight w:val="298"/>
        </w:trPr>
        <w:tc>
          <w:tcPr>
            <w:tcW w:w="782" w:type="dxa"/>
            <w:shd w:val="clear" w:color="auto" w:fill="FFF2CC" w:themeFill="accent4" w:themeFillTint="33"/>
            <w:noWrap/>
            <w:vAlign w:val="center"/>
            <w:hideMark/>
          </w:tcPr>
          <w:p w14:paraId="71418763" w14:textId="77777777" w:rsidR="006320E2" w:rsidRPr="00512BE3" w:rsidRDefault="006320E2" w:rsidP="009E1003">
            <w:pPr>
              <w:tabs>
                <w:tab w:val="left" w:pos="7335"/>
              </w:tabs>
              <w:jc w:val="center"/>
              <w:rPr>
                <w:rFonts w:ascii="Arial" w:hAnsi="Arial" w:cs="Arial"/>
                <w:b/>
                <w:bCs/>
                <w:i/>
                <w:iCs/>
                <w:sz w:val="16"/>
                <w:szCs w:val="16"/>
              </w:rPr>
            </w:pPr>
            <w:r w:rsidRPr="00512BE3">
              <w:rPr>
                <w:rFonts w:ascii="Arial" w:hAnsi="Arial" w:cs="Arial"/>
                <w:b/>
                <w:bCs/>
                <w:i/>
                <w:iCs/>
                <w:sz w:val="16"/>
                <w:szCs w:val="16"/>
              </w:rPr>
              <w:t>4</w:t>
            </w:r>
          </w:p>
        </w:tc>
        <w:tc>
          <w:tcPr>
            <w:tcW w:w="2081" w:type="dxa"/>
            <w:shd w:val="clear" w:color="auto" w:fill="FFF2CC" w:themeFill="accent4" w:themeFillTint="33"/>
            <w:vAlign w:val="center"/>
            <w:hideMark/>
          </w:tcPr>
          <w:p w14:paraId="79F3DA92"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Akciza na domaće proizvode</w:t>
            </w:r>
          </w:p>
        </w:tc>
        <w:tc>
          <w:tcPr>
            <w:tcW w:w="1424" w:type="dxa"/>
            <w:shd w:val="clear" w:color="auto" w:fill="FFF2CC" w:themeFill="accent4" w:themeFillTint="33"/>
            <w:noWrap/>
            <w:vAlign w:val="center"/>
            <w:hideMark/>
          </w:tcPr>
          <w:p w14:paraId="1B150BC0"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89.119.630,95</w:t>
            </w:r>
          </w:p>
        </w:tc>
        <w:tc>
          <w:tcPr>
            <w:tcW w:w="1295" w:type="dxa"/>
            <w:shd w:val="clear" w:color="auto" w:fill="FFF2CC" w:themeFill="accent4" w:themeFillTint="33"/>
            <w:noWrap/>
            <w:vAlign w:val="center"/>
            <w:hideMark/>
          </w:tcPr>
          <w:p w14:paraId="1170903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7.092.213,27</w:t>
            </w:r>
          </w:p>
        </w:tc>
        <w:tc>
          <w:tcPr>
            <w:tcW w:w="1295" w:type="dxa"/>
            <w:shd w:val="clear" w:color="auto" w:fill="FFF2CC" w:themeFill="accent4" w:themeFillTint="33"/>
            <w:vAlign w:val="center"/>
            <w:hideMark/>
          </w:tcPr>
          <w:p w14:paraId="2658F15C"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2.773.798,48</w:t>
            </w:r>
          </w:p>
        </w:tc>
        <w:tc>
          <w:tcPr>
            <w:tcW w:w="1424" w:type="dxa"/>
            <w:shd w:val="clear" w:color="auto" w:fill="FFF2CC" w:themeFill="accent4" w:themeFillTint="33"/>
            <w:vAlign w:val="center"/>
            <w:hideMark/>
          </w:tcPr>
          <w:p w14:paraId="3D30216D"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33.850.508,54</w:t>
            </w:r>
          </w:p>
        </w:tc>
        <w:tc>
          <w:tcPr>
            <w:tcW w:w="688" w:type="dxa"/>
            <w:shd w:val="clear" w:color="auto" w:fill="FFF2CC" w:themeFill="accent4" w:themeFillTint="33"/>
            <w:noWrap/>
            <w:vAlign w:val="center"/>
            <w:hideMark/>
          </w:tcPr>
          <w:p w14:paraId="7A7F259D"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39,11</w:t>
            </w:r>
          </w:p>
        </w:tc>
        <w:tc>
          <w:tcPr>
            <w:tcW w:w="688" w:type="dxa"/>
            <w:shd w:val="clear" w:color="auto" w:fill="FFF2CC" w:themeFill="accent4" w:themeFillTint="33"/>
            <w:noWrap/>
            <w:vAlign w:val="center"/>
            <w:hideMark/>
          </w:tcPr>
          <w:p w14:paraId="7AD30220"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37,98</w:t>
            </w:r>
          </w:p>
        </w:tc>
        <w:tc>
          <w:tcPr>
            <w:tcW w:w="688" w:type="dxa"/>
            <w:shd w:val="clear" w:color="auto" w:fill="FFF2CC" w:themeFill="accent4" w:themeFillTint="33"/>
            <w:noWrap/>
            <w:vAlign w:val="center"/>
            <w:hideMark/>
          </w:tcPr>
          <w:p w14:paraId="0C057CD7"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0,34</w:t>
            </w:r>
          </w:p>
        </w:tc>
      </w:tr>
      <w:tr w:rsidR="007615B0" w:rsidRPr="00512BE3" w14:paraId="4ADDD571" w14:textId="77777777" w:rsidTr="00512BE3">
        <w:trPr>
          <w:trHeight w:val="298"/>
        </w:trPr>
        <w:tc>
          <w:tcPr>
            <w:tcW w:w="782" w:type="dxa"/>
            <w:noWrap/>
            <w:vAlign w:val="center"/>
            <w:hideMark/>
          </w:tcPr>
          <w:p w14:paraId="2625615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715410</w:t>
            </w:r>
          </w:p>
        </w:tc>
        <w:tc>
          <w:tcPr>
            <w:tcW w:w="2081" w:type="dxa"/>
            <w:vAlign w:val="center"/>
            <w:hideMark/>
          </w:tcPr>
          <w:p w14:paraId="03134A4E"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domaće biogorivo i biotečnosti</w:t>
            </w:r>
          </w:p>
        </w:tc>
        <w:tc>
          <w:tcPr>
            <w:tcW w:w="1424" w:type="dxa"/>
            <w:noWrap/>
            <w:vAlign w:val="center"/>
            <w:hideMark/>
          </w:tcPr>
          <w:p w14:paraId="161638B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6D8A04D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62E9A15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noWrap/>
            <w:vAlign w:val="center"/>
            <w:hideMark/>
          </w:tcPr>
          <w:p w14:paraId="37DEBD8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771AA03D"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382321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4C81516"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4200A2F9" w14:textId="77777777" w:rsidTr="00512BE3">
        <w:trPr>
          <w:trHeight w:val="298"/>
        </w:trPr>
        <w:tc>
          <w:tcPr>
            <w:tcW w:w="782" w:type="dxa"/>
            <w:noWrap/>
            <w:vAlign w:val="center"/>
            <w:hideMark/>
          </w:tcPr>
          <w:p w14:paraId="3B5231D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715411</w:t>
            </w:r>
          </w:p>
        </w:tc>
        <w:tc>
          <w:tcPr>
            <w:tcW w:w="2081" w:type="dxa"/>
            <w:vAlign w:val="center"/>
            <w:hideMark/>
          </w:tcPr>
          <w:p w14:paraId="5B4E93CA"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domaću naftu i naftne derivate</w:t>
            </w:r>
          </w:p>
        </w:tc>
        <w:tc>
          <w:tcPr>
            <w:tcW w:w="1424" w:type="dxa"/>
            <w:noWrap/>
            <w:vAlign w:val="center"/>
            <w:hideMark/>
          </w:tcPr>
          <w:p w14:paraId="70889D4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40.953,34</w:t>
            </w:r>
          </w:p>
        </w:tc>
        <w:tc>
          <w:tcPr>
            <w:tcW w:w="1295" w:type="dxa"/>
            <w:vAlign w:val="center"/>
            <w:hideMark/>
          </w:tcPr>
          <w:p w14:paraId="4407628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6A5C6B1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4.227,60</w:t>
            </w:r>
          </w:p>
        </w:tc>
        <w:tc>
          <w:tcPr>
            <w:tcW w:w="1424" w:type="dxa"/>
            <w:noWrap/>
            <w:vAlign w:val="center"/>
            <w:hideMark/>
          </w:tcPr>
          <w:p w14:paraId="7685A0E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4.227,60</w:t>
            </w:r>
          </w:p>
        </w:tc>
        <w:tc>
          <w:tcPr>
            <w:tcW w:w="688" w:type="dxa"/>
            <w:noWrap/>
            <w:vAlign w:val="center"/>
            <w:hideMark/>
          </w:tcPr>
          <w:p w14:paraId="7F7AC3A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3B1337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600F3211"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13B11F09" w14:textId="77777777" w:rsidTr="00512BE3">
        <w:trPr>
          <w:trHeight w:val="298"/>
        </w:trPr>
        <w:tc>
          <w:tcPr>
            <w:tcW w:w="782" w:type="dxa"/>
            <w:noWrap/>
            <w:vAlign w:val="center"/>
            <w:hideMark/>
          </w:tcPr>
          <w:p w14:paraId="2D78FA6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715412</w:t>
            </w:r>
          </w:p>
        </w:tc>
        <w:tc>
          <w:tcPr>
            <w:tcW w:w="2081" w:type="dxa"/>
            <w:noWrap/>
            <w:vAlign w:val="center"/>
            <w:hideMark/>
          </w:tcPr>
          <w:p w14:paraId="152B3A5B"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domaći duvan i duvanske prerađevine</w:t>
            </w:r>
          </w:p>
        </w:tc>
        <w:tc>
          <w:tcPr>
            <w:tcW w:w="1424" w:type="dxa"/>
            <w:noWrap/>
            <w:vAlign w:val="center"/>
            <w:hideMark/>
          </w:tcPr>
          <w:p w14:paraId="366A6EF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54.320.264,19</w:t>
            </w:r>
          </w:p>
        </w:tc>
        <w:tc>
          <w:tcPr>
            <w:tcW w:w="1295" w:type="dxa"/>
            <w:vAlign w:val="center"/>
            <w:hideMark/>
          </w:tcPr>
          <w:p w14:paraId="2C30565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4.312.795,69</w:t>
            </w:r>
          </w:p>
        </w:tc>
        <w:tc>
          <w:tcPr>
            <w:tcW w:w="1295" w:type="dxa"/>
            <w:vAlign w:val="center"/>
            <w:hideMark/>
          </w:tcPr>
          <w:p w14:paraId="556C580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178,96</w:t>
            </w:r>
          </w:p>
        </w:tc>
        <w:tc>
          <w:tcPr>
            <w:tcW w:w="1424" w:type="dxa"/>
            <w:noWrap/>
            <w:vAlign w:val="center"/>
            <w:hideMark/>
          </w:tcPr>
          <w:p w14:paraId="387A3FB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2.002.781,43</w:t>
            </w:r>
          </w:p>
        </w:tc>
        <w:tc>
          <w:tcPr>
            <w:tcW w:w="688" w:type="dxa"/>
            <w:noWrap/>
            <w:vAlign w:val="center"/>
            <w:hideMark/>
          </w:tcPr>
          <w:p w14:paraId="44EB1F4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0B1BD1C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54C1AE8"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6E84485" w14:textId="77777777" w:rsidTr="00512BE3">
        <w:trPr>
          <w:trHeight w:val="298"/>
        </w:trPr>
        <w:tc>
          <w:tcPr>
            <w:tcW w:w="782" w:type="dxa"/>
            <w:vAlign w:val="center"/>
            <w:hideMark/>
          </w:tcPr>
          <w:p w14:paraId="0D004D3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715413</w:t>
            </w:r>
          </w:p>
        </w:tc>
        <w:tc>
          <w:tcPr>
            <w:tcW w:w="2081" w:type="dxa"/>
            <w:vAlign w:val="center"/>
            <w:hideMark/>
          </w:tcPr>
          <w:p w14:paraId="5F9E6874"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domaći alkohol i alkoholna pića</w:t>
            </w:r>
          </w:p>
        </w:tc>
        <w:tc>
          <w:tcPr>
            <w:tcW w:w="1424" w:type="dxa"/>
            <w:noWrap/>
            <w:vAlign w:val="center"/>
            <w:hideMark/>
          </w:tcPr>
          <w:p w14:paraId="5B1A1C8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2.661.665,47</w:t>
            </w:r>
          </w:p>
        </w:tc>
        <w:tc>
          <w:tcPr>
            <w:tcW w:w="1295" w:type="dxa"/>
            <w:vAlign w:val="center"/>
            <w:hideMark/>
          </w:tcPr>
          <w:p w14:paraId="13C65B7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191.093,63</w:t>
            </w:r>
          </w:p>
        </w:tc>
        <w:tc>
          <w:tcPr>
            <w:tcW w:w="1295" w:type="dxa"/>
            <w:vAlign w:val="center"/>
            <w:hideMark/>
          </w:tcPr>
          <w:p w14:paraId="3BAEA81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296.233,21</w:t>
            </w:r>
          </w:p>
        </w:tc>
        <w:tc>
          <w:tcPr>
            <w:tcW w:w="1424" w:type="dxa"/>
            <w:noWrap/>
            <w:vAlign w:val="center"/>
            <w:hideMark/>
          </w:tcPr>
          <w:p w14:paraId="36732A0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2.514.827,83</w:t>
            </w:r>
          </w:p>
        </w:tc>
        <w:tc>
          <w:tcPr>
            <w:tcW w:w="688" w:type="dxa"/>
            <w:noWrap/>
            <w:vAlign w:val="center"/>
            <w:hideMark/>
          </w:tcPr>
          <w:p w14:paraId="7B1F7CA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155,02</w:t>
            </w:r>
          </w:p>
        </w:tc>
        <w:tc>
          <w:tcPr>
            <w:tcW w:w="688" w:type="dxa"/>
            <w:noWrap/>
            <w:vAlign w:val="center"/>
            <w:hideMark/>
          </w:tcPr>
          <w:p w14:paraId="01FDB1B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94,48</w:t>
            </w:r>
          </w:p>
        </w:tc>
        <w:tc>
          <w:tcPr>
            <w:tcW w:w="688" w:type="dxa"/>
            <w:noWrap/>
            <w:vAlign w:val="center"/>
            <w:hideMark/>
          </w:tcPr>
          <w:p w14:paraId="7C968E91"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23A3AE9D" w14:textId="77777777" w:rsidTr="00512BE3">
        <w:trPr>
          <w:trHeight w:val="298"/>
        </w:trPr>
        <w:tc>
          <w:tcPr>
            <w:tcW w:w="782" w:type="dxa"/>
            <w:vAlign w:val="center"/>
            <w:hideMark/>
          </w:tcPr>
          <w:p w14:paraId="079965D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715414</w:t>
            </w:r>
          </w:p>
        </w:tc>
        <w:tc>
          <w:tcPr>
            <w:tcW w:w="2081" w:type="dxa"/>
            <w:vAlign w:val="center"/>
            <w:hideMark/>
          </w:tcPr>
          <w:p w14:paraId="22E442BF"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domaća bezalkoholna pića</w:t>
            </w:r>
          </w:p>
        </w:tc>
        <w:tc>
          <w:tcPr>
            <w:tcW w:w="1424" w:type="dxa"/>
            <w:noWrap/>
            <w:vAlign w:val="center"/>
            <w:hideMark/>
          </w:tcPr>
          <w:p w14:paraId="29E14CD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17.463.085,22</w:t>
            </w:r>
          </w:p>
        </w:tc>
        <w:tc>
          <w:tcPr>
            <w:tcW w:w="1295" w:type="dxa"/>
            <w:vAlign w:val="center"/>
            <w:hideMark/>
          </w:tcPr>
          <w:p w14:paraId="434E8BF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1.406.069,72</w:t>
            </w:r>
          </w:p>
        </w:tc>
        <w:tc>
          <w:tcPr>
            <w:tcW w:w="1295" w:type="dxa"/>
            <w:vAlign w:val="center"/>
            <w:hideMark/>
          </w:tcPr>
          <w:p w14:paraId="375C0F6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1.506.393,38</w:t>
            </w:r>
          </w:p>
        </w:tc>
        <w:tc>
          <w:tcPr>
            <w:tcW w:w="1424" w:type="dxa"/>
            <w:noWrap/>
            <w:vAlign w:val="center"/>
            <w:hideMark/>
          </w:tcPr>
          <w:p w14:paraId="61C763E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17.764.877,22</w:t>
            </w:r>
          </w:p>
        </w:tc>
        <w:tc>
          <w:tcPr>
            <w:tcW w:w="688" w:type="dxa"/>
            <w:noWrap/>
            <w:vAlign w:val="center"/>
            <w:hideMark/>
          </w:tcPr>
          <w:p w14:paraId="3950FA2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107,14</w:t>
            </w:r>
          </w:p>
        </w:tc>
        <w:tc>
          <w:tcPr>
            <w:tcW w:w="688" w:type="dxa"/>
            <w:noWrap/>
            <w:vAlign w:val="center"/>
            <w:hideMark/>
          </w:tcPr>
          <w:p w14:paraId="7298699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101,73</w:t>
            </w:r>
          </w:p>
        </w:tc>
        <w:tc>
          <w:tcPr>
            <w:tcW w:w="688" w:type="dxa"/>
            <w:noWrap/>
            <w:vAlign w:val="center"/>
            <w:hideMark/>
          </w:tcPr>
          <w:p w14:paraId="5C1819D4"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73A81A89" w14:textId="77777777" w:rsidTr="00512BE3">
        <w:trPr>
          <w:trHeight w:val="298"/>
        </w:trPr>
        <w:tc>
          <w:tcPr>
            <w:tcW w:w="782" w:type="dxa"/>
            <w:noWrap/>
            <w:vAlign w:val="center"/>
            <w:hideMark/>
          </w:tcPr>
          <w:p w14:paraId="596E734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715416</w:t>
            </w:r>
          </w:p>
        </w:tc>
        <w:tc>
          <w:tcPr>
            <w:tcW w:w="2081" w:type="dxa"/>
            <w:noWrap/>
            <w:vAlign w:val="center"/>
            <w:hideMark/>
          </w:tcPr>
          <w:p w14:paraId="7D497E79"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domaće pivo</w:t>
            </w:r>
          </w:p>
        </w:tc>
        <w:tc>
          <w:tcPr>
            <w:tcW w:w="1424" w:type="dxa"/>
            <w:noWrap/>
            <w:vAlign w:val="center"/>
            <w:hideMark/>
          </w:tcPr>
          <w:p w14:paraId="0785E8B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13.450.524,31</w:t>
            </w:r>
          </w:p>
        </w:tc>
        <w:tc>
          <w:tcPr>
            <w:tcW w:w="1295" w:type="dxa"/>
            <w:vAlign w:val="center"/>
            <w:hideMark/>
          </w:tcPr>
          <w:p w14:paraId="373C5DD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1.151.863,27</w:t>
            </w:r>
          </w:p>
        </w:tc>
        <w:tc>
          <w:tcPr>
            <w:tcW w:w="1295" w:type="dxa"/>
            <w:vAlign w:val="center"/>
            <w:hideMark/>
          </w:tcPr>
          <w:p w14:paraId="21E7BF0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762.029,30</w:t>
            </w:r>
          </w:p>
        </w:tc>
        <w:tc>
          <w:tcPr>
            <w:tcW w:w="1424" w:type="dxa"/>
            <w:noWrap/>
            <w:vAlign w:val="center"/>
            <w:hideMark/>
          </w:tcPr>
          <w:p w14:paraId="5298D19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10.113.943,66</w:t>
            </w:r>
          </w:p>
        </w:tc>
        <w:tc>
          <w:tcPr>
            <w:tcW w:w="688" w:type="dxa"/>
            <w:noWrap/>
            <w:vAlign w:val="center"/>
            <w:hideMark/>
          </w:tcPr>
          <w:p w14:paraId="4BADDB2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66,16</w:t>
            </w:r>
          </w:p>
        </w:tc>
        <w:tc>
          <w:tcPr>
            <w:tcW w:w="688" w:type="dxa"/>
            <w:noWrap/>
            <w:vAlign w:val="center"/>
            <w:hideMark/>
          </w:tcPr>
          <w:p w14:paraId="67BD820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75,19</w:t>
            </w:r>
          </w:p>
        </w:tc>
        <w:tc>
          <w:tcPr>
            <w:tcW w:w="688" w:type="dxa"/>
            <w:noWrap/>
            <w:vAlign w:val="center"/>
            <w:hideMark/>
          </w:tcPr>
          <w:p w14:paraId="6C32CB24"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65646C1" w14:textId="77777777" w:rsidTr="00512BE3">
        <w:trPr>
          <w:trHeight w:val="298"/>
        </w:trPr>
        <w:tc>
          <w:tcPr>
            <w:tcW w:w="782" w:type="dxa"/>
            <w:noWrap/>
            <w:vAlign w:val="center"/>
            <w:hideMark/>
          </w:tcPr>
          <w:p w14:paraId="130F00B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715417</w:t>
            </w:r>
          </w:p>
        </w:tc>
        <w:tc>
          <w:tcPr>
            <w:tcW w:w="2081" w:type="dxa"/>
            <w:noWrap/>
            <w:vAlign w:val="center"/>
            <w:hideMark/>
          </w:tcPr>
          <w:p w14:paraId="419B4B9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Zatezna kamata za akcize na domaće proizvode</w:t>
            </w:r>
          </w:p>
        </w:tc>
        <w:tc>
          <w:tcPr>
            <w:tcW w:w="1424" w:type="dxa"/>
            <w:noWrap/>
            <w:vAlign w:val="center"/>
            <w:hideMark/>
          </w:tcPr>
          <w:p w14:paraId="7DAEC06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700.217,93</w:t>
            </w:r>
          </w:p>
        </w:tc>
        <w:tc>
          <w:tcPr>
            <w:tcW w:w="1295" w:type="dxa"/>
            <w:vAlign w:val="center"/>
            <w:hideMark/>
          </w:tcPr>
          <w:p w14:paraId="3418419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3.233,50</w:t>
            </w:r>
          </w:p>
        </w:tc>
        <w:tc>
          <w:tcPr>
            <w:tcW w:w="1295" w:type="dxa"/>
            <w:vAlign w:val="center"/>
            <w:hideMark/>
          </w:tcPr>
          <w:p w14:paraId="2199997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160.035,80</w:t>
            </w:r>
          </w:p>
        </w:tc>
        <w:tc>
          <w:tcPr>
            <w:tcW w:w="1424" w:type="dxa"/>
            <w:noWrap/>
            <w:vAlign w:val="center"/>
            <w:hideMark/>
          </w:tcPr>
          <w:p w14:paraId="1CA1795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968.478,92</w:t>
            </w:r>
          </w:p>
        </w:tc>
        <w:tc>
          <w:tcPr>
            <w:tcW w:w="688" w:type="dxa"/>
            <w:noWrap/>
            <w:vAlign w:val="center"/>
            <w:hideMark/>
          </w:tcPr>
          <w:p w14:paraId="79B8FC4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8B2614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7E4A601D"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34D9476" w14:textId="77777777" w:rsidTr="00512BE3">
        <w:trPr>
          <w:trHeight w:val="298"/>
        </w:trPr>
        <w:tc>
          <w:tcPr>
            <w:tcW w:w="782" w:type="dxa"/>
            <w:noWrap/>
            <w:vAlign w:val="center"/>
            <w:hideMark/>
          </w:tcPr>
          <w:p w14:paraId="36E5044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715418</w:t>
            </w:r>
          </w:p>
        </w:tc>
        <w:tc>
          <w:tcPr>
            <w:tcW w:w="2081" w:type="dxa"/>
            <w:noWrap/>
            <w:vAlign w:val="center"/>
            <w:hideMark/>
          </w:tcPr>
          <w:p w14:paraId="0AE2BB9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Akciza na domaće vino</w:t>
            </w:r>
          </w:p>
        </w:tc>
        <w:tc>
          <w:tcPr>
            <w:tcW w:w="1424" w:type="dxa"/>
            <w:noWrap/>
            <w:vAlign w:val="center"/>
            <w:hideMark/>
          </w:tcPr>
          <w:p w14:paraId="374268F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411.839,40</w:t>
            </w:r>
          </w:p>
        </w:tc>
        <w:tc>
          <w:tcPr>
            <w:tcW w:w="1295" w:type="dxa"/>
            <w:vAlign w:val="center"/>
            <w:hideMark/>
          </w:tcPr>
          <w:p w14:paraId="09C29E6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22.147,22</w:t>
            </w:r>
          </w:p>
        </w:tc>
        <w:tc>
          <w:tcPr>
            <w:tcW w:w="1295" w:type="dxa"/>
            <w:vAlign w:val="center"/>
            <w:hideMark/>
          </w:tcPr>
          <w:p w14:paraId="0A43D63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29.496,57</w:t>
            </w:r>
          </w:p>
        </w:tc>
        <w:tc>
          <w:tcPr>
            <w:tcW w:w="1424" w:type="dxa"/>
            <w:noWrap/>
            <w:vAlign w:val="center"/>
            <w:hideMark/>
          </w:tcPr>
          <w:p w14:paraId="677E056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451.409,94</w:t>
            </w:r>
          </w:p>
        </w:tc>
        <w:tc>
          <w:tcPr>
            <w:tcW w:w="688" w:type="dxa"/>
            <w:noWrap/>
            <w:vAlign w:val="center"/>
            <w:hideMark/>
          </w:tcPr>
          <w:p w14:paraId="68A1F8D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133,18</w:t>
            </w:r>
          </w:p>
        </w:tc>
        <w:tc>
          <w:tcPr>
            <w:tcW w:w="688" w:type="dxa"/>
            <w:noWrap/>
            <w:vAlign w:val="center"/>
            <w:hideMark/>
          </w:tcPr>
          <w:p w14:paraId="28D4215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109,61</w:t>
            </w:r>
          </w:p>
        </w:tc>
        <w:tc>
          <w:tcPr>
            <w:tcW w:w="688" w:type="dxa"/>
            <w:noWrap/>
            <w:vAlign w:val="center"/>
            <w:hideMark/>
          </w:tcPr>
          <w:p w14:paraId="6D0F697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B54254A" w14:textId="77777777" w:rsidTr="00512BE3">
        <w:trPr>
          <w:trHeight w:val="298"/>
        </w:trPr>
        <w:tc>
          <w:tcPr>
            <w:tcW w:w="782" w:type="dxa"/>
            <w:noWrap/>
            <w:vAlign w:val="center"/>
            <w:hideMark/>
          </w:tcPr>
          <w:p w14:paraId="5245162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lastRenderedPageBreak/>
              <w:t>715419</w:t>
            </w:r>
          </w:p>
        </w:tc>
        <w:tc>
          <w:tcPr>
            <w:tcW w:w="2081" w:type="dxa"/>
            <w:noWrap/>
            <w:vAlign w:val="center"/>
            <w:hideMark/>
          </w:tcPr>
          <w:p w14:paraId="3F6FEB94"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Naknadni teret prinude po akciznim obavezama</w:t>
            </w:r>
          </w:p>
        </w:tc>
        <w:tc>
          <w:tcPr>
            <w:tcW w:w="1424" w:type="dxa"/>
            <w:noWrap/>
            <w:vAlign w:val="center"/>
            <w:hideMark/>
          </w:tcPr>
          <w:p w14:paraId="43AD5E9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71.081,09</w:t>
            </w:r>
          </w:p>
        </w:tc>
        <w:tc>
          <w:tcPr>
            <w:tcW w:w="1295" w:type="dxa"/>
            <w:vAlign w:val="center"/>
            <w:hideMark/>
          </w:tcPr>
          <w:p w14:paraId="6D1287D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5.010,24</w:t>
            </w:r>
          </w:p>
        </w:tc>
        <w:tc>
          <w:tcPr>
            <w:tcW w:w="1295" w:type="dxa"/>
            <w:vAlign w:val="center"/>
            <w:hideMark/>
          </w:tcPr>
          <w:p w14:paraId="7AF1494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15.203,66</w:t>
            </w:r>
          </w:p>
        </w:tc>
        <w:tc>
          <w:tcPr>
            <w:tcW w:w="1424" w:type="dxa"/>
            <w:noWrap/>
            <w:vAlign w:val="center"/>
            <w:hideMark/>
          </w:tcPr>
          <w:p w14:paraId="1594CF1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29.961,94</w:t>
            </w:r>
          </w:p>
        </w:tc>
        <w:tc>
          <w:tcPr>
            <w:tcW w:w="688" w:type="dxa"/>
            <w:noWrap/>
            <w:vAlign w:val="center"/>
            <w:hideMark/>
          </w:tcPr>
          <w:p w14:paraId="08D92B9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E69832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0D9B728"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9EF2E18" w14:textId="77777777" w:rsidTr="00512BE3">
        <w:trPr>
          <w:trHeight w:val="298"/>
        </w:trPr>
        <w:tc>
          <w:tcPr>
            <w:tcW w:w="782" w:type="dxa"/>
            <w:shd w:val="clear" w:color="auto" w:fill="D5DCE4" w:themeFill="text2" w:themeFillTint="33"/>
            <w:vAlign w:val="center"/>
            <w:hideMark/>
          </w:tcPr>
          <w:p w14:paraId="262764B9" w14:textId="77777777" w:rsidR="006320E2"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5</w:t>
            </w:r>
          </w:p>
        </w:tc>
        <w:tc>
          <w:tcPr>
            <w:tcW w:w="2081" w:type="dxa"/>
            <w:shd w:val="clear" w:color="auto" w:fill="D5DCE4" w:themeFill="text2" w:themeFillTint="33"/>
            <w:vAlign w:val="center"/>
            <w:hideMark/>
          </w:tcPr>
          <w:p w14:paraId="504FCE2B"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Putarina</w:t>
            </w:r>
          </w:p>
        </w:tc>
        <w:tc>
          <w:tcPr>
            <w:tcW w:w="1424" w:type="dxa"/>
            <w:shd w:val="clear" w:color="auto" w:fill="D5DCE4" w:themeFill="text2" w:themeFillTint="33"/>
            <w:noWrap/>
            <w:vAlign w:val="center"/>
            <w:hideMark/>
          </w:tcPr>
          <w:p w14:paraId="20A533F8"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655.741.821,79</w:t>
            </w:r>
          </w:p>
        </w:tc>
        <w:tc>
          <w:tcPr>
            <w:tcW w:w="1295" w:type="dxa"/>
            <w:shd w:val="clear" w:color="auto" w:fill="D5DCE4" w:themeFill="text2" w:themeFillTint="33"/>
            <w:noWrap/>
            <w:vAlign w:val="center"/>
            <w:hideMark/>
          </w:tcPr>
          <w:p w14:paraId="7CC77D98"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56.021.264,62</w:t>
            </w:r>
          </w:p>
        </w:tc>
        <w:tc>
          <w:tcPr>
            <w:tcW w:w="1295" w:type="dxa"/>
            <w:shd w:val="clear" w:color="auto" w:fill="D5DCE4" w:themeFill="text2" w:themeFillTint="33"/>
            <w:vAlign w:val="center"/>
            <w:hideMark/>
          </w:tcPr>
          <w:p w14:paraId="0C2A1B8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54.547.905,29</w:t>
            </w:r>
          </w:p>
        </w:tc>
        <w:tc>
          <w:tcPr>
            <w:tcW w:w="1424" w:type="dxa"/>
            <w:shd w:val="clear" w:color="auto" w:fill="D5DCE4" w:themeFill="text2" w:themeFillTint="33"/>
            <w:vAlign w:val="center"/>
            <w:hideMark/>
          </w:tcPr>
          <w:p w14:paraId="466E74FD"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627.286.265,75</w:t>
            </w:r>
          </w:p>
        </w:tc>
        <w:tc>
          <w:tcPr>
            <w:tcW w:w="688" w:type="dxa"/>
            <w:shd w:val="clear" w:color="auto" w:fill="D5DCE4" w:themeFill="text2" w:themeFillTint="33"/>
            <w:noWrap/>
            <w:vAlign w:val="center"/>
            <w:hideMark/>
          </w:tcPr>
          <w:p w14:paraId="168AE62E"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97,37</w:t>
            </w:r>
          </w:p>
        </w:tc>
        <w:tc>
          <w:tcPr>
            <w:tcW w:w="688" w:type="dxa"/>
            <w:shd w:val="clear" w:color="auto" w:fill="D5DCE4" w:themeFill="text2" w:themeFillTint="33"/>
            <w:noWrap/>
            <w:vAlign w:val="center"/>
            <w:hideMark/>
          </w:tcPr>
          <w:p w14:paraId="69AD2523"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95,66</w:t>
            </w:r>
          </w:p>
        </w:tc>
        <w:tc>
          <w:tcPr>
            <w:tcW w:w="688" w:type="dxa"/>
            <w:shd w:val="clear" w:color="auto" w:fill="D5DCE4" w:themeFill="text2" w:themeFillTint="33"/>
            <w:noWrap/>
            <w:vAlign w:val="center"/>
            <w:hideMark/>
          </w:tcPr>
          <w:p w14:paraId="327692EC"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6,32</w:t>
            </w:r>
          </w:p>
        </w:tc>
      </w:tr>
      <w:tr w:rsidR="007615B0" w:rsidRPr="00512BE3" w14:paraId="3F255388" w14:textId="77777777" w:rsidTr="00512BE3">
        <w:trPr>
          <w:trHeight w:val="298"/>
        </w:trPr>
        <w:tc>
          <w:tcPr>
            <w:tcW w:w="782" w:type="dxa"/>
            <w:noWrap/>
            <w:vAlign w:val="center"/>
            <w:hideMark/>
          </w:tcPr>
          <w:p w14:paraId="37C817B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722533</w:t>
            </w:r>
          </w:p>
        </w:tc>
        <w:tc>
          <w:tcPr>
            <w:tcW w:w="2081" w:type="dxa"/>
            <w:vAlign w:val="center"/>
            <w:hideMark/>
          </w:tcPr>
          <w:p w14:paraId="124204B9"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puteva iz cijene uvozne nafte i  naftnih derivata (0,15 KM)</w:t>
            </w:r>
          </w:p>
        </w:tc>
        <w:tc>
          <w:tcPr>
            <w:tcW w:w="1424" w:type="dxa"/>
            <w:vAlign w:val="center"/>
            <w:hideMark/>
          </w:tcPr>
          <w:p w14:paraId="09BBE6C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245.723.504,50</w:t>
            </w:r>
          </w:p>
        </w:tc>
        <w:tc>
          <w:tcPr>
            <w:tcW w:w="1295" w:type="dxa"/>
            <w:vAlign w:val="center"/>
            <w:hideMark/>
          </w:tcPr>
          <w:p w14:paraId="089040C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20.967.556,20</w:t>
            </w:r>
          </w:p>
        </w:tc>
        <w:tc>
          <w:tcPr>
            <w:tcW w:w="1295" w:type="dxa"/>
            <w:vAlign w:val="center"/>
            <w:hideMark/>
          </w:tcPr>
          <w:p w14:paraId="2111AA6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20.435.937,61</w:t>
            </w:r>
          </w:p>
        </w:tc>
        <w:tc>
          <w:tcPr>
            <w:tcW w:w="1424" w:type="dxa"/>
            <w:vAlign w:val="center"/>
            <w:hideMark/>
          </w:tcPr>
          <w:p w14:paraId="3DC3B77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235.187.418,76</w:t>
            </w:r>
          </w:p>
        </w:tc>
        <w:tc>
          <w:tcPr>
            <w:tcW w:w="688" w:type="dxa"/>
            <w:noWrap/>
            <w:vAlign w:val="center"/>
            <w:hideMark/>
          </w:tcPr>
          <w:p w14:paraId="18614B7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97,46</w:t>
            </w:r>
          </w:p>
        </w:tc>
        <w:tc>
          <w:tcPr>
            <w:tcW w:w="688" w:type="dxa"/>
            <w:noWrap/>
            <w:vAlign w:val="center"/>
            <w:hideMark/>
          </w:tcPr>
          <w:p w14:paraId="6798A67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95,71</w:t>
            </w:r>
          </w:p>
        </w:tc>
        <w:tc>
          <w:tcPr>
            <w:tcW w:w="688" w:type="dxa"/>
            <w:noWrap/>
            <w:vAlign w:val="center"/>
            <w:hideMark/>
          </w:tcPr>
          <w:p w14:paraId="6635F5D8"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10645C17" w14:textId="77777777" w:rsidTr="00512BE3">
        <w:trPr>
          <w:trHeight w:val="298"/>
        </w:trPr>
        <w:tc>
          <w:tcPr>
            <w:tcW w:w="782" w:type="dxa"/>
            <w:vAlign w:val="center"/>
            <w:hideMark/>
          </w:tcPr>
          <w:p w14:paraId="1602701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722534</w:t>
            </w:r>
          </w:p>
        </w:tc>
        <w:tc>
          <w:tcPr>
            <w:tcW w:w="2081" w:type="dxa"/>
            <w:vAlign w:val="center"/>
            <w:hideMark/>
          </w:tcPr>
          <w:p w14:paraId="7693A4A1"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puteva iz cijene domaće nafte i  naftnih derivata (0,15 KM)</w:t>
            </w:r>
          </w:p>
        </w:tc>
        <w:tc>
          <w:tcPr>
            <w:tcW w:w="1424" w:type="dxa"/>
            <w:vAlign w:val="center"/>
            <w:hideMark/>
          </w:tcPr>
          <w:p w14:paraId="191FB91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182.683,72</w:t>
            </w:r>
          </w:p>
        </w:tc>
        <w:tc>
          <w:tcPr>
            <w:tcW w:w="1295" w:type="dxa"/>
            <w:vAlign w:val="center"/>
            <w:hideMark/>
          </w:tcPr>
          <w:p w14:paraId="710D547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562,35</w:t>
            </w:r>
          </w:p>
        </w:tc>
        <w:tc>
          <w:tcPr>
            <w:tcW w:w="1295" w:type="dxa"/>
            <w:vAlign w:val="center"/>
            <w:hideMark/>
          </w:tcPr>
          <w:p w14:paraId="276F402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15.700,09</w:t>
            </w:r>
          </w:p>
        </w:tc>
        <w:tc>
          <w:tcPr>
            <w:tcW w:w="1424" w:type="dxa"/>
            <w:vAlign w:val="center"/>
            <w:hideMark/>
          </w:tcPr>
          <w:p w14:paraId="71FC5AF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16.349,09</w:t>
            </w:r>
          </w:p>
        </w:tc>
        <w:tc>
          <w:tcPr>
            <w:tcW w:w="688" w:type="dxa"/>
            <w:noWrap/>
            <w:vAlign w:val="center"/>
            <w:hideMark/>
          </w:tcPr>
          <w:p w14:paraId="793A0D1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316270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3E3ACAE"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DA35244" w14:textId="77777777" w:rsidTr="00512BE3">
        <w:trPr>
          <w:trHeight w:val="298"/>
        </w:trPr>
        <w:tc>
          <w:tcPr>
            <w:tcW w:w="782" w:type="dxa"/>
            <w:vAlign w:val="center"/>
            <w:hideMark/>
          </w:tcPr>
          <w:p w14:paraId="752D9FC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722537</w:t>
            </w:r>
          </w:p>
        </w:tc>
        <w:tc>
          <w:tcPr>
            <w:tcW w:w="2081" w:type="dxa"/>
            <w:vAlign w:val="center"/>
            <w:hideMark/>
          </w:tcPr>
          <w:p w14:paraId="725711FE"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puteva iz cijene uvoznih biogoriva i biotečnosti (0,15 KM)</w:t>
            </w:r>
          </w:p>
        </w:tc>
        <w:tc>
          <w:tcPr>
            <w:tcW w:w="1424" w:type="dxa"/>
            <w:vAlign w:val="center"/>
            <w:hideMark/>
          </w:tcPr>
          <w:p w14:paraId="115A3DC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12.132,91</w:t>
            </w:r>
          </w:p>
        </w:tc>
        <w:tc>
          <w:tcPr>
            <w:tcW w:w="1295" w:type="dxa"/>
            <w:vAlign w:val="center"/>
            <w:hideMark/>
          </w:tcPr>
          <w:p w14:paraId="4E00C28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4.380,45</w:t>
            </w:r>
          </w:p>
        </w:tc>
        <w:tc>
          <w:tcPr>
            <w:tcW w:w="1295" w:type="dxa"/>
            <w:vAlign w:val="center"/>
            <w:hideMark/>
          </w:tcPr>
          <w:p w14:paraId="0E346B1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0,45</w:t>
            </w:r>
          </w:p>
        </w:tc>
        <w:tc>
          <w:tcPr>
            <w:tcW w:w="1424" w:type="dxa"/>
            <w:vAlign w:val="center"/>
            <w:hideMark/>
          </w:tcPr>
          <w:p w14:paraId="0BFD69B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7.297,85</w:t>
            </w:r>
          </w:p>
        </w:tc>
        <w:tc>
          <w:tcPr>
            <w:tcW w:w="688" w:type="dxa"/>
            <w:noWrap/>
            <w:vAlign w:val="center"/>
            <w:hideMark/>
          </w:tcPr>
          <w:p w14:paraId="13CC42F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1E3259F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CB16CB0"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78FB18C" w14:textId="77777777" w:rsidTr="00512BE3">
        <w:trPr>
          <w:trHeight w:val="298"/>
        </w:trPr>
        <w:tc>
          <w:tcPr>
            <w:tcW w:w="782" w:type="dxa"/>
            <w:vAlign w:val="center"/>
            <w:hideMark/>
          </w:tcPr>
          <w:p w14:paraId="4D97A24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722538</w:t>
            </w:r>
          </w:p>
        </w:tc>
        <w:tc>
          <w:tcPr>
            <w:tcW w:w="2081" w:type="dxa"/>
            <w:vAlign w:val="center"/>
            <w:hideMark/>
          </w:tcPr>
          <w:p w14:paraId="4D38E0F2"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puteva iz cijene domaćih biogoriva i biotečnosti (0,15 KM)</w:t>
            </w:r>
          </w:p>
        </w:tc>
        <w:tc>
          <w:tcPr>
            <w:tcW w:w="1424" w:type="dxa"/>
            <w:vAlign w:val="center"/>
            <w:hideMark/>
          </w:tcPr>
          <w:p w14:paraId="1A1A806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05BBC24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0F18409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vAlign w:val="center"/>
            <w:hideMark/>
          </w:tcPr>
          <w:p w14:paraId="30726F7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312B122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C65426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33B16580"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181F26E4" w14:textId="77777777" w:rsidTr="00512BE3">
        <w:trPr>
          <w:trHeight w:val="298"/>
        </w:trPr>
        <w:tc>
          <w:tcPr>
            <w:tcW w:w="782" w:type="dxa"/>
            <w:vAlign w:val="center"/>
            <w:hideMark/>
          </w:tcPr>
          <w:p w14:paraId="1E9B1DB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722541</w:t>
            </w:r>
          </w:p>
        </w:tc>
        <w:tc>
          <w:tcPr>
            <w:tcW w:w="2081" w:type="dxa"/>
            <w:vAlign w:val="center"/>
            <w:hideMark/>
          </w:tcPr>
          <w:p w14:paraId="3FD0488E"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Zatezna kamata na putarinu za puteve (0,15 KM)</w:t>
            </w:r>
          </w:p>
        </w:tc>
        <w:tc>
          <w:tcPr>
            <w:tcW w:w="1424" w:type="dxa"/>
            <w:vAlign w:val="center"/>
            <w:hideMark/>
          </w:tcPr>
          <w:p w14:paraId="347C3D3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30.363,70</w:t>
            </w:r>
          </w:p>
        </w:tc>
        <w:tc>
          <w:tcPr>
            <w:tcW w:w="1295" w:type="dxa"/>
            <w:vAlign w:val="center"/>
            <w:hideMark/>
          </w:tcPr>
          <w:p w14:paraId="1D45215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21.409,64</w:t>
            </w:r>
          </w:p>
        </w:tc>
        <w:tc>
          <w:tcPr>
            <w:tcW w:w="1295" w:type="dxa"/>
            <w:vAlign w:val="center"/>
            <w:hideMark/>
          </w:tcPr>
          <w:p w14:paraId="001D404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vAlign w:val="center"/>
            <w:hideMark/>
          </w:tcPr>
          <w:p w14:paraId="7D37C1A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6.704,62</w:t>
            </w:r>
          </w:p>
        </w:tc>
        <w:tc>
          <w:tcPr>
            <w:tcW w:w="688" w:type="dxa"/>
            <w:noWrap/>
            <w:vAlign w:val="center"/>
            <w:hideMark/>
          </w:tcPr>
          <w:p w14:paraId="5F0DFA8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36516F8D"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6D3151E1"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26A50B52" w14:textId="77777777" w:rsidTr="00512BE3">
        <w:trPr>
          <w:trHeight w:val="298"/>
        </w:trPr>
        <w:tc>
          <w:tcPr>
            <w:tcW w:w="782" w:type="dxa"/>
            <w:vAlign w:val="center"/>
            <w:hideMark/>
          </w:tcPr>
          <w:p w14:paraId="7E23BFE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722535</w:t>
            </w:r>
          </w:p>
        </w:tc>
        <w:tc>
          <w:tcPr>
            <w:tcW w:w="2081" w:type="dxa"/>
            <w:vAlign w:val="center"/>
            <w:hideMark/>
          </w:tcPr>
          <w:p w14:paraId="3C871C20"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autoputeva i izgradnju i rekonstrukciju drugih puteva iz cijene uvozne nafte i naftnih derivata (0,25 KM)</w:t>
            </w:r>
          </w:p>
        </w:tc>
        <w:tc>
          <w:tcPr>
            <w:tcW w:w="1424" w:type="dxa"/>
            <w:vAlign w:val="center"/>
            <w:hideMark/>
          </w:tcPr>
          <w:p w14:paraId="264ECB7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409.539.922,27</w:t>
            </w:r>
          </w:p>
        </w:tc>
        <w:tc>
          <w:tcPr>
            <w:tcW w:w="1295" w:type="dxa"/>
            <w:vAlign w:val="center"/>
            <w:hideMark/>
          </w:tcPr>
          <w:p w14:paraId="37E09E4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34.946.676,25</w:t>
            </w:r>
          </w:p>
        </w:tc>
        <w:tc>
          <w:tcPr>
            <w:tcW w:w="1295" w:type="dxa"/>
            <w:vAlign w:val="center"/>
            <w:hideMark/>
          </w:tcPr>
          <w:p w14:paraId="3F23C70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34.059.896,01</w:t>
            </w:r>
          </w:p>
        </w:tc>
        <w:tc>
          <w:tcPr>
            <w:tcW w:w="1424" w:type="dxa"/>
            <w:vAlign w:val="center"/>
            <w:hideMark/>
          </w:tcPr>
          <w:p w14:paraId="5A983AB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391.978.282,01</w:t>
            </w:r>
          </w:p>
        </w:tc>
        <w:tc>
          <w:tcPr>
            <w:tcW w:w="688" w:type="dxa"/>
            <w:noWrap/>
            <w:vAlign w:val="center"/>
            <w:hideMark/>
          </w:tcPr>
          <w:p w14:paraId="1D10E45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97,46</w:t>
            </w:r>
          </w:p>
        </w:tc>
        <w:tc>
          <w:tcPr>
            <w:tcW w:w="688" w:type="dxa"/>
            <w:noWrap/>
            <w:vAlign w:val="center"/>
            <w:hideMark/>
          </w:tcPr>
          <w:p w14:paraId="2C145BA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95,71</w:t>
            </w:r>
          </w:p>
        </w:tc>
        <w:tc>
          <w:tcPr>
            <w:tcW w:w="688" w:type="dxa"/>
            <w:noWrap/>
            <w:vAlign w:val="center"/>
            <w:hideMark/>
          </w:tcPr>
          <w:p w14:paraId="240D208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75360C00" w14:textId="77777777" w:rsidTr="00512BE3">
        <w:trPr>
          <w:trHeight w:val="298"/>
        </w:trPr>
        <w:tc>
          <w:tcPr>
            <w:tcW w:w="782" w:type="dxa"/>
            <w:vAlign w:val="center"/>
            <w:hideMark/>
          </w:tcPr>
          <w:p w14:paraId="24B0187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722536</w:t>
            </w:r>
          </w:p>
        </w:tc>
        <w:tc>
          <w:tcPr>
            <w:tcW w:w="2081" w:type="dxa"/>
            <w:vAlign w:val="center"/>
            <w:hideMark/>
          </w:tcPr>
          <w:p w14:paraId="12A65DC0"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autoputeva i izgradnju i rekonstrukciju drugih puteva iz cijene domaće nafte i naftnih derivata (0,25 KM)</w:t>
            </w:r>
          </w:p>
        </w:tc>
        <w:tc>
          <w:tcPr>
            <w:tcW w:w="1424" w:type="dxa"/>
            <w:vAlign w:val="center"/>
            <w:hideMark/>
          </w:tcPr>
          <w:p w14:paraId="1367592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193.326,84</w:t>
            </w:r>
          </w:p>
        </w:tc>
        <w:tc>
          <w:tcPr>
            <w:tcW w:w="1295" w:type="dxa"/>
            <w:vAlign w:val="center"/>
            <w:hideMark/>
          </w:tcPr>
          <w:p w14:paraId="7ED4152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45.467,36</w:t>
            </w:r>
          </w:p>
        </w:tc>
        <w:tc>
          <w:tcPr>
            <w:tcW w:w="1295" w:type="dxa"/>
            <w:vAlign w:val="center"/>
            <w:hideMark/>
          </w:tcPr>
          <w:p w14:paraId="293CF0F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36.370,38</w:t>
            </w:r>
          </w:p>
        </w:tc>
        <w:tc>
          <w:tcPr>
            <w:tcW w:w="1424" w:type="dxa"/>
            <w:vAlign w:val="center"/>
            <w:hideMark/>
          </w:tcPr>
          <w:p w14:paraId="21F4B4D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63.294,51</w:t>
            </w:r>
          </w:p>
        </w:tc>
        <w:tc>
          <w:tcPr>
            <w:tcW w:w="688" w:type="dxa"/>
            <w:noWrap/>
            <w:vAlign w:val="center"/>
            <w:hideMark/>
          </w:tcPr>
          <w:p w14:paraId="43CB04D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E853FF6"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32,74</w:t>
            </w:r>
          </w:p>
        </w:tc>
        <w:tc>
          <w:tcPr>
            <w:tcW w:w="688" w:type="dxa"/>
            <w:noWrap/>
            <w:vAlign w:val="center"/>
            <w:hideMark/>
          </w:tcPr>
          <w:p w14:paraId="38F39F6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24CD925F" w14:textId="77777777" w:rsidTr="00512BE3">
        <w:trPr>
          <w:trHeight w:val="298"/>
        </w:trPr>
        <w:tc>
          <w:tcPr>
            <w:tcW w:w="782" w:type="dxa"/>
            <w:vAlign w:val="center"/>
            <w:hideMark/>
          </w:tcPr>
          <w:p w14:paraId="35774BF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722539</w:t>
            </w:r>
          </w:p>
        </w:tc>
        <w:tc>
          <w:tcPr>
            <w:tcW w:w="2081" w:type="dxa"/>
            <w:vAlign w:val="center"/>
            <w:hideMark/>
          </w:tcPr>
          <w:p w14:paraId="3CA944C7"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autoputeva i izgradnju i rekonstrukciju drugih puteva iz cijene uvoznih biogoriva i biotečnosti (0,25 KM)</w:t>
            </w:r>
          </w:p>
        </w:tc>
        <w:tc>
          <w:tcPr>
            <w:tcW w:w="1424" w:type="dxa"/>
            <w:vAlign w:val="center"/>
            <w:hideMark/>
          </w:tcPr>
          <w:p w14:paraId="44C0532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20.670,28</w:t>
            </w:r>
          </w:p>
        </w:tc>
        <w:tc>
          <w:tcPr>
            <w:tcW w:w="1295" w:type="dxa"/>
            <w:vAlign w:val="center"/>
            <w:hideMark/>
          </w:tcPr>
          <w:p w14:paraId="2143806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7.300,85</w:t>
            </w:r>
          </w:p>
        </w:tc>
        <w:tc>
          <w:tcPr>
            <w:tcW w:w="1295" w:type="dxa"/>
            <w:vAlign w:val="center"/>
            <w:hideMark/>
          </w:tcPr>
          <w:p w14:paraId="35A1927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0,75</w:t>
            </w:r>
          </w:p>
        </w:tc>
        <w:tc>
          <w:tcPr>
            <w:tcW w:w="1424" w:type="dxa"/>
            <w:vAlign w:val="center"/>
            <w:hideMark/>
          </w:tcPr>
          <w:p w14:paraId="127D793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12.884,08</w:t>
            </w:r>
          </w:p>
        </w:tc>
        <w:tc>
          <w:tcPr>
            <w:tcW w:w="688" w:type="dxa"/>
            <w:noWrap/>
            <w:vAlign w:val="center"/>
            <w:hideMark/>
          </w:tcPr>
          <w:p w14:paraId="729EED9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60EB5A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D5C30E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30589F7C" w14:textId="77777777" w:rsidTr="00512BE3">
        <w:trPr>
          <w:trHeight w:val="298"/>
        </w:trPr>
        <w:tc>
          <w:tcPr>
            <w:tcW w:w="782" w:type="dxa"/>
            <w:vAlign w:val="center"/>
            <w:hideMark/>
          </w:tcPr>
          <w:p w14:paraId="7D7508A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722540</w:t>
            </w:r>
          </w:p>
        </w:tc>
        <w:tc>
          <w:tcPr>
            <w:tcW w:w="2081" w:type="dxa"/>
            <w:vAlign w:val="center"/>
            <w:hideMark/>
          </w:tcPr>
          <w:p w14:paraId="0DDA973D"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Putarina za izgradnju autoputeva i izgradnju i rekonstrukciju drugih puteva iz cijene domaćih biogoriva i biotečnosti (0,25 KM)</w:t>
            </w:r>
          </w:p>
        </w:tc>
        <w:tc>
          <w:tcPr>
            <w:tcW w:w="1424" w:type="dxa"/>
            <w:vAlign w:val="center"/>
            <w:hideMark/>
          </w:tcPr>
          <w:p w14:paraId="15E8B03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1ABDED0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033AE95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vAlign w:val="center"/>
            <w:hideMark/>
          </w:tcPr>
          <w:p w14:paraId="06170A4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3CF2CEF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9FAC3E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343A018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1863209A" w14:textId="77777777" w:rsidTr="00512BE3">
        <w:trPr>
          <w:trHeight w:val="298"/>
        </w:trPr>
        <w:tc>
          <w:tcPr>
            <w:tcW w:w="782" w:type="dxa"/>
            <w:vAlign w:val="center"/>
            <w:hideMark/>
          </w:tcPr>
          <w:p w14:paraId="52EB27E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722542</w:t>
            </w:r>
          </w:p>
        </w:tc>
        <w:tc>
          <w:tcPr>
            <w:tcW w:w="2081" w:type="dxa"/>
            <w:vAlign w:val="center"/>
            <w:hideMark/>
          </w:tcPr>
          <w:p w14:paraId="22675457"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Zatezna kamata na putarinu za izgradnju autocesta i izgradnju i rekonstrukciju drugih puteva (0,25 KM)</w:t>
            </w:r>
          </w:p>
        </w:tc>
        <w:tc>
          <w:tcPr>
            <w:tcW w:w="1424" w:type="dxa"/>
            <w:vAlign w:val="center"/>
            <w:hideMark/>
          </w:tcPr>
          <w:p w14:paraId="711B4BA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39.217,57</w:t>
            </w:r>
          </w:p>
        </w:tc>
        <w:tc>
          <w:tcPr>
            <w:tcW w:w="1295" w:type="dxa"/>
            <w:vAlign w:val="center"/>
            <w:hideMark/>
          </w:tcPr>
          <w:p w14:paraId="3F31E21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27.911,52</w:t>
            </w:r>
          </w:p>
        </w:tc>
        <w:tc>
          <w:tcPr>
            <w:tcW w:w="1295" w:type="dxa"/>
            <w:vAlign w:val="center"/>
            <w:hideMark/>
          </w:tcPr>
          <w:p w14:paraId="77BA7A0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vAlign w:val="center"/>
            <w:hideMark/>
          </w:tcPr>
          <w:p w14:paraId="47E7F57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14.034,83</w:t>
            </w:r>
          </w:p>
        </w:tc>
        <w:tc>
          <w:tcPr>
            <w:tcW w:w="688" w:type="dxa"/>
            <w:noWrap/>
            <w:vAlign w:val="center"/>
            <w:hideMark/>
          </w:tcPr>
          <w:p w14:paraId="28C0ECE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C4D8B3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15E1F43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705C4E4A" w14:textId="77777777" w:rsidTr="00512BE3">
        <w:trPr>
          <w:trHeight w:val="298"/>
        </w:trPr>
        <w:tc>
          <w:tcPr>
            <w:tcW w:w="782" w:type="dxa"/>
            <w:shd w:val="clear" w:color="auto" w:fill="E2CAF0"/>
            <w:vAlign w:val="center"/>
            <w:hideMark/>
          </w:tcPr>
          <w:p w14:paraId="2DE66B05" w14:textId="77777777" w:rsidR="006320E2"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6</w:t>
            </w:r>
          </w:p>
        </w:tc>
        <w:tc>
          <w:tcPr>
            <w:tcW w:w="2081" w:type="dxa"/>
            <w:shd w:val="clear" w:color="auto" w:fill="E2CAF0"/>
            <w:vAlign w:val="center"/>
            <w:hideMark/>
          </w:tcPr>
          <w:p w14:paraId="7BA465B2"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Ostali prihodi i naknade</w:t>
            </w:r>
          </w:p>
        </w:tc>
        <w:tc>
          <w:tcPr>
            <w:tcW w:w="1424" w:type="dxa"/>
            <w:shd w:val="clear" w:color="auto" w:fill="E2CAF0"/>
            <w:noWrap/>
            <w:vAlign w:val="center"/>
            <w:hideMark/>
          </w:tcPr>
          <w:p w14:paraId="6CDE576C"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20.849.962,50</w:t>
            </w:r>
          </w:p>
        </w:tc>
        <w:tc>
          <w:tcPr>
            <w:tcW w:w="1295" w:type="dxa"/>
            <w:shd w:val="clear" w:color="auto" w:fill="E2CAF0"/>
            <w:noWrap/>
            <w:vAlign w:val="center"/>
            <w:hideMark/>
          </w:tcPr>
          <w:p w14:paraId="28CCAA8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1.804.576,34</w:t>
            </w:r>
          </w:p>
        </w:tc>
        <w:tc>
          <w:tcPr>
            <w:tcW w:w="1295" w:type="dxa"/>
            <w:shd w:val="clear" w:color="auto" w:fill="E2CAF0"/>
            <w:vAlign w:val="center"/>
            <w:hideMark/>
          </w:tcPr>
          <w:p w14:paraId="4EB67387"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1.886.460,08</w:t>
            </w:r>
          </w:p>
        </w:tc>
        <w:tc>
          <w:tcPr>
            <w:tcW w:w="1424" w:type="dxa"/>
            <w:shd w:val="clear" w:color="auto" w:fill="E2CAF0"/>
            <w:vAlign w:val="center"/>
            <w:hideMark/>
          </w:tcPr>
          <w:p w14:paraId="487AD942"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20.970.060,89</w:t>
            </w:r>
          </w:p>
        </w:tc>
        <w:tc>
          <w:tcPr>
            <w:tcW w:w="688" w:type="dxa"/>
            <w:shd w:val="clear" w:color="auto" w:fill="E2CAF0"/>
            <w:noWrap/>
            <w:vAlign w:val="center"/>
            <w:hideMark/>
          </w:tcPr>
          <w:p w14:paraId="2BEDA34D"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104,54</w:t>
            </w:r>
          </w:p>
        </w:tc>
        <w:tc>
          <w:tcPr>
            <w:tcW w:w="688" w:type="dxa"/>
            <w:shd w:val="clear" w:color="auto" w:fill="E2CAF0"/>
            <w:noWrap/>
            <w:vAlign w:val="center"/>
            <w:hideMark/>
          </w:tcPr>
          <w:p w14:paraId="569E912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100,58</w:t>
            </w:r>
          </w:p>
        </w:tc>
        <w:tc>
          <w:tcPr>
            <w:tcW w:w="688" w:type="dxa"/>
            <w:shd w:val="clear" w:color="auto" w:fill="E2CAF0"/>
            <w:noWrap/>
            <w:vAlign w:val="center"/>
            <w:hideMark/>
          </w:tcPr>
          <w:p w14:paraId="1C331FE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0,21</w:t>
            </w:r>
          </w:p>
        </w:tc>
      </w:tr>
      <w:tr w:rsidR="007615B0" w:rsidRPr="00512BE3" w14:paraId="0C9538F4" w14:textId="77777777" w:rsidTr="00512BE3">
        <w:trPr>
          <w:trHeight w:val="298"/>
        </w:trPr>
        <w:tc>
          <w:tcPr>
            <w:tcW w:w="782" w:type="dxa"/>
            <w:noWrap/>
            <w:vAlign w:val="center"/>
            <w:hideMark/>
          </w:tcPr>
          <w:p w14:paraId="2034578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716116</w:t>
            </w:r>
          </w:p>
        </w:tc>
        <w:tc>
          <w:tcPr>
            <w:tcW w:w="2081" w:type="dxa"/>
            <w:noWrap/>
            <w:vAlign w:val="center"/>
            <w:hideMark/>
          </w:tcPr>
          <w:p w14:paraId="130DDBFD"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Ležarina</w:t>
            </w:r>
          </w:p>
        </w:tc>
        <w:tc>
          <w:tcPr>
            <w:tcW w:w="1424" w:type="dxa"/>
            <w:noWrap/>
            <w:vAlign w:val="center"/>
            <w:hideMark/>
          </w:tcPr>
          <w:p w14:paraId="15BD308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15FABC8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4F1F3D9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noWrap/>
            <w:vAlign w:val="center"/>
            <w:hideMark/>
          </w:tcPr>
          <w:p w14:paraId="7C8AACA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6F0FA5D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65920A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6446D63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67ED4E9" w14:textId="77777777" w:rsidTr="00512BE3">
        <w:trPr>
          <w:trHeight w:val="298"/>
        </w:trPr>
        <w:tc>
          <w:tcPr>
            <w:tcW w:w="782" w:type="dxa"/>
            <w:vAlign w:val="center"/>
            <w:hideMark/>
          </w:tcPr>
          <w:p w14:paraId="53B69FDD"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716121</w:t>
            </w:r>
          </w:p>
        </w:tc>
        <w:tc>
          <w:tcPr>
            <w:tcW w:w="2081" w:type="dxa"/>
            <w:vAlign w:val="center"/>
            <w:hideMark/>
          </w:tcPr>
          <w:p w14:paraId="201FB61B"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Novčane kazne za carinske prekršaje za  pravna lica</w:t>
            </w:r>
          </w:p>
        </w:tc>
        <w:tc>
          <w:tcPr>
            <w:tcW w:w="1424" w:type="dxa"/>
            <w:noWrap/>
            <w:vAlign w:val="center"/>
            <w:hideMark/>
          </w:tcPr>
          <w:p w14:paraId="7B99F4F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107.927,49</w:t>
            </w:r>
          </w:p>
        </w:tc>
        <w:tc>
          <w:tcPr>
            <w:tcW w:w="1295" w:type="dxa"/>
            <w:vAlign w:val="center"/>
            <w:hideMark/>
          </w:tcPr>
          <w:p w14:paraId="5C57625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14.465,00</w:t>
            </w:r>
          </w:p>
        </w:tc>
        <w:tc>
          <w:tcPr>
            <w:tcW w:w="1295" w:type="dxa"/>
            <w:vAlign w:val="center"/>
            <w:hideMark/>
          </w:tcPr>
          <w:p w14:paraId="1F63E5C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11.235,00</w:t>
            </w:r>
          </w:p>
        </w:tc>
        <w:tc>
          <w:tcPr>
            <w:tcW w:w="1424" w:type="dxa"/>
            <w:noWrap/>
            <w:vAlign w:val="center"/>
            <w:hideMark/>
          </w:tcPr>
          <w:p w14:paraId="567355D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144.347,14</w:t>
            </w:r>
          </w:p>
        </w:tc>
        <w:tc>
          <w:tcPr>
            <w:tcW w:w="688" w:type="dxa"/>
            <w:noWrap/>
            <w:vAlign w:val="center"/>
            <w:hideMark/>
          </w:tcPr>
          <w:p w14:paraId="21B102A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77,67</w:t>
            </w:r>
          </w:p>
        </w:tc>
        <w:tc>
          <w:tcPr>
            <w:tcW w:w="688" w:type="dxa"/>
            <w:noWrap/>
            <w:vAlign w:val="center"/>
            <w:hideMark/>
          </w:tcPr>
          <w:p w14:paraId="1EC0A46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133,74</w:t>
            </w:r>
          </w:p>
        </w:tc>
        <w:tc>
          <w:tcPr>
            <w:tcW w:w="688" w:type="dxa"/>
            <w:noWrap/>
            <w:vAlign w:val="center"/>
            <w:hideMark/>
          </w:tcPr>
          <w:p w14:paraId="5F70D3E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6A6F04A4" w14:textId="77777777" w:rsidTr="00512BE3">
        <w:trPr>
          <w:trHeight w:val="298"/>
        </w:trPr>
        <w:tc>
          <w:tcPr>
            <w:tcW w:w="782" w:type="dxa"/>
            <w:vAlign w:val="center"/>
            <w:hideMark/>
          </w:tcPr>
          <w:p w14:paraId="4ABAAFC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716122</w:t>
            </w:r>
          </w:p>
        </w:tc>
        <w:tc>
          <w:tcPr>
            <w:tcW w:w="2081" w:type="dxa"/>
            <w:vAlign w:val="center"/>
            <w:hideMark/>
          </w:tcPr>
          <w:p w14:paraId="76F57965"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Novčane kazne za carinske prekršaje za  fizička lica</w:t>
            </w:r>
          </w:p>
        </w:tc>
        <w:tc>
          <w:tcPr>
            <w:tcW w:w="1424" w:type="dxa"/>
            <w:noWrap/>
            <w:vAlign w:val="center"/>
            <w:hideMark/>
          </w:tcPr>
          <w:p w14:paraId="423F025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155.286,07</w:t>
            </w:r>
          </w:p>
        </w:tc>
        <w:tc>
          <w:tcPr>
            <w:tcW w:w="1295" w:type="dxa"/>
            <w:vAlign w:val="center"/>
            <w:hideMark/>
          </w:tcPr>
          <w:p w14:paraId="0648A33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22.860,00</w:t>
            </w:r>
          </w:p>
        </w:tc>
        <w:tc>
          <w:tcPr>
            <w:tcW w:w="1295" w:type="dxa"/>
            <w:vAlign w:val="center"/>
            <w:hideMark/>
          </w:tcPr>
          <w:p w14:paraId="2BA9200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19.407,77</w:t>
            </w:r>
          </w:p>
        </w:tc>
        <w:tc>
          <w:tcPr>
            <w:tcW w:w="1424" w:type="dxa"/>
            <w:noWrap/>
            <w:vAlign w:val="center"/>
            <w:hideMark/>
          </w:tcPr>
          <w:p w14:paraId="123ECA9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199.138,55</w:t>
            </w:r>
          </w:p>
        </w:tc>
        <w:tc>
          <w:tcPr>
            <w:tcW w:w="688" w:type="dxa"/>
            <w:noWrap/>
            <w:vAlign w:val="center"/>
            <w:hideMark/>
          </w:tcPr>
          <w:p w14:paraId="0DEDF99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84,90</w:t>
            </w:r>
          </w:p>
        </w:tc>
        <w:tc>
          <w:tcPr>
            <w:tcW w:w="688" w:type="dxa"/>
            <w:noWrap/>
            <w:vAlign w:val="center"/>
            <w:hideMark/>
          </w:tcPr>
          <w:p w14:paraId="7D8CD25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128,24</w:t>
            </w:r>
          </w:p>
        </w:tc>
        <w:tc>
          <w:tcPr>
            <w:tcW w:w="688" w:type="dxa"/>
            <w:noWrap/>
            <w:vAlign w:val="center"/>
            <w:hideMark/>
          </w:tcPr>
          <w:p w14:paraId="1E6D840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52B5FA7F" w14:textId="77777777" w:rsidTr="00512BE3">
        <w:trPr>
          <w:trHeight w:val="298"/>
        </w:trPr>
        <w:tc>
          <w:tcPr>
            <w:tcW w:w="782" w:type="dxa"/>
            <w:noWrap/>
            <w:vAlign w:val="center"/>
            <w:hideMark/>
          </w:tcPr>
          <w:p w14:paraId="4011EA5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716123</w:t>
            </w:r>
          </w:p>
        </w:tc>
        <w:tc>
          <w:tcPr>
            <w:tcW w:w="2081" w:type="dxa"/>
            <w:noWrap/>
            <w:vAlign w:val="center"/>
            <w:hideMark/>
          </w:tcPr>
          <w:p w14:paraId="0A57A828"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Vanredni prihodi</w:t>
            </w:r>
          </w:p>
        </w:tc>
        <w:tc>
          <w:tcPr>
            <w:tcW w:w="1424" w:type="dxa"/>
            <w:noWrap/>
            <w:vAlign w:val="center"/>
            <w:hideMark/>
          </w:tcPr>
          <w:p w14:paraId="5FDAC1D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279.731,70</w:t>
            </w:r>
          </w:p>
        </w:tc>
        <w:tc>
          <w:tcPr>
            <w:tcW w:w="1295" w:type="dxa"/>
            <w:vAlign w:val="center"/>
            <w:hideMark/>
          </w:tcPr>
          <w:p w14:paraId="664C82D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21.235,37</w:t>
            </w:r>
          </w:p>
        </w:tc>
        <w:tc>
          <w:tcPr>
            <w:tcW w:w="1295" w:type="dxa"/>
            <w:vAlign w:val="center"/>
            <w:hideMark/>
          </w:tcPr>
          <w:p w14:paraId="204380F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7.511,83</w:t>
            </w:r>
          </w:p>
        </w:tc>
        <w:tc>
          <w:tcPr>
            <w:tcW w:w="1424" w:type="dxa"/>
            <w:noWrap/>
            <w:vAlign w:val="center"/>
            <w:hideMark/>
          </w:tcPr>
          <w:p w14:paraId="58B752E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200.255,04</w:t>
            </w:r>
          </w:p>
        </w:tc>
        <w:tc>
          <w:tcPr>
            <w:tcW w:w="688" w:type="dxa"/>
            <w:noWrap/>
            <w:vAlign w:val="center"/>
            <w:hideMark/>
          </w:tcPr>
          <w:p w14:paraId="0BF54E1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CC1120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75DDA2A8"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537DDEB" w14:textId="77777777" w:rsidTr="00512BE3">
        <w:trPr>
          <w:trHeight w:val="298"/>
        </w:trPr>
        <w:tc>
          <w:tcPr>
            <w:tcW w:w="782" w:type="dxa"/>
            <w:noWrap/>
            <w:vAlign w:val="center"/>
            <w:hideMark/>
          </w:tcPr>
          <w:p w14:paraId="2A57B08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716124</w:t>
            </w:r>
          </w:p>
        </w:tc>
        <w:tc>
          <w:tcPr>
            <w:tcW w:w="2081" w:type="dxa"/>
            <w:noWrap/>
            <w:vAlign w:val="center"/>
            <w:hideMark/>
          </w:tcPr>
          <w:p w14:paraId="011C1572"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Zatezna kamata za carinske dažbine, ostale prihode i naknade</w:t>
            </w:r>
          </w:p>
        </w:tc>
        <w:tc>
          <w:tcPr>
            <w:tcW w:w="1424" w:type="dxa"/>
            <w:noWrap/>
            <w:vAlign w:val="center"/>
            <w:hideMark/>
          </w:tcPr>
          <w:p w14:paraId="2D6F673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83.961,48</w:t>
            </w:r>
          </w:p>
        </w:tc>
        <w:tc>
          <w:tcPr>
            <w:tcW w:w="1295" w:type="dxa"/>
            <w:vAlign w:val="center"/>
            <w:hideMark/>
          </w:tcPr>
          <w:p w14:paraId="25D6A62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671,31</w:t>
            </w:r>
          </w:p>
        </w:tc>
        <w:tc>
          <w:tcPr>
            <w:tcW w:w="1295" w:type="dxa"/>
            <w:vAlign w:val="center"/>
            <w:hideMark/>
          </w:tcPr>
          <w:p w14:paraId="36B12C5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108,55</w:t>
            </w:r>
          </w:p>
        </w:tc>
        <w:tc>
          <w:tcPr>
            <w:tcW w:w="1424" w:type="dxa"/>
            <w:noWrap/>
            <w:vAlign w:val="center"/>
            <w:hideMark/>
          </w:tcPr>
          <w:p w14:paraId="45FE61E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37.637,37</w:t>
            </w:r>
          </w:p>
        </w:tc>
        <w:tc>
          <w:tcPr>
            <w:tcW w:w="688" w:type="dxa"/>
            <w:noWrap/>
            <w:vAlign w:val="center"/>
            <w:hideMark/>
          </w:tcPr>
          <w:p w14:paraId="4AFEB2B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81BABA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894882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1A0F47A4" w14:textId="77777777" w:rsidTr="00512BE3">
        <w:trPr>
          <w:trHeight w:val="298"/>
        </w:trPr>
        <w:tc>
          <w:tcPr>
            <w:tcW w:w="782" w:type="dxa"/>
            <w:noWrap/>
            <w:vAlign w:val="center"/>
            <w:hideMark/>
          </w:tcPr>
          <w:p w14:paraId="4B49381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716126</w:t>
            </w:r>
          </w:p>
        </w:tc>
        <w:tc>
          <w:tcPr>
            <w:tcW w:w="2081" w:type="dxa"/>
            <w:vAlign w:val="center"/>
            <w:hideMark/>
          </w:tcPr>
          <w:p w14:paraId="52FAB622"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naplate protuvrijednosti robe koja u prekršajnom postupku nije mogla biti oduzeta</w:t>
            </w:r>
          </w:p>
        </w:tc>
        <w:tc>
          <w:tcPr>
            <w:tcW w:w="1424" w:type="dxa"/>
            <w:noWrap/>
            <w:vAlign w:val="center"/>
            <w:hideMark/>
          </w:tcPr>
          <w:p w14:paraId="772A0B0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20.416,67</w:t>
            </w:r>
          </w:p>
        </w:tc>
        <w:tc>
          <w:tcPr>
            <w:tcW w:w="1295" w:type="dxa"/>
            <w:vAlign w:val="center"/>
            <w:hideMark/>
          </w:tcPr>
          <w:p w14:paraId="22F5A26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4463E5F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noWrap/>
            <w:vAlign w:val="center"/>
            <w:hideMark/>
          </w:tcPr>
          <w:p w14:paraId="477A167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31BB9B2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053B360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4B9479BE"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EBC8077" w14:textId="77777777" w:rsidTr="00512BE3">
        <w:trPr>
          <w:trHeight w:val="298"/>
        </w:trPr>
        <w:tc>
          <w:tcPr>
            <w:tcW w:w="782" w:type="dxa"/>
            <w:noWrap/>
            <w:vAlign w:val="center"/>
            <w:hideMark/>
          </w:tcPr>
          <w:p w14:paraId="573C1B5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716128</w:t>
            </w:r>
          </w:p>
        </w:tc>
        <w:tc>
          <w:tcPr>
            <w:tcW w:w="2081" w:type="dxa"/>
            <w:vAlign w:val="center"/>
            <w:hideMark/>
          </w:tcPr>
          <w:p w14:paraId="37F1E4B9"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carinske pratnje, izlaska carinika izvan  mjesta rada i radnog vremena</w:t>
            </w:r>
          </w:p>
        </w:tc>
        <w:tc>
          <w:tcPr>
            <w:tcW w:w="1424" w:type="dxa"/>
            <w:noWrap/>
            <w:vAlign w:val="center"/>
            <w:hideMark/>
          </w:tcPr>
          <w:p w14:paraId="55E05A4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430.069,00</w:t>
            </w:r>
          </w:p>
        </w:tc>
        <w:tc>
          <w:tcPr>
            <w:tcW w:w="1295" w:type="dxa"/>
            <w:vAlign w:val="center"/>
            <w:hideMark/>
          </w:tcPr>
          <w:p w14:paraId="1AF55F0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40.600,00</w:t>
            </w:r>
          </w:p>
        </w:tc>
        <w:tc>
          <w:tcPr>
            <w:tcW w:w="1295" w:type="dxa"/>
            <w:vAlign w:val="center"/>
            <w:hideMark/>
          </w:tcPr>
          <w:p w14:paraId="524AFFE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41.920,00</w:t>
            </w:r>
          </w:p>
        </w:tc>
        <w:tc>
          <w:tcPr>
            <w:tcW w:w="1424" w:type="dxa"/>
            <w:noWrap/>
            <w:vAlign w:val="center"/>
            <w:hideMark/>
          </w:tcPr>
          <w:p w14:paraId="22475C5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447.411,42</w:t>
            </w:r>
          </w:p>
        </w:tc>
        <w:tc>
          <w:tcPr>
            <w:tcW w:w="688" w:type="dxa"/>
            <w:noWrap/>
            <w:vAlign w:val="center"/>
            <w:hideMark/>
          </w:tcPr>
          <w:p w14:paraId="26AF3EC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103,25</w:t>
            </w:r>
          </w:p>
        </w:tc>
        <w:tc>
          <w:tcPr>
            <w:tcW w:w="688" w:type="dxa"/>
            <w:noWrap/>
            <w:vAlign w:val="center"/>
            <w:hideMark/>
          </w:tcPr>
          <w:p w14:paraId="2C07BD0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104,03</w:t>
            </w:r>
          </w:p>
        </w:tc>
        <w:tc>
          <w:tcPr>
            <w:tcW w:w="688" w:type="dxa"/>
            <w:noWrap/>
            <w:vAlign w:val="center"/>
            <w:hideMark/>
          </w:tcPr>
          <w:p w14:paraId="3FEB3E2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7E3CFEB1" w14:textId="77777777" w:rsidTr="00512BE3">
        <w:trPr>
          <w:trHeight w:val="298"/>
        </w:trPr>
        <w:tc>
          <w:tcPr>
            <w:tcW w:w="782" w:type="dxa"/>
            <w:noWrap/>
            <w:vAlign w:val="center"/>
            <w:hideMark/>
          </w:tcPr>
          <w:p w14:paraId="6099195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716129</w:t>
            </w:r>
          </w:p>
        </w:tc>
        <w:tc>
          <w:tcPr>
            <w:tcW w:w="2081" w:type="dxa"/>
            <w:vAlign w:val="center"/>
            <w:hideMark/>
          </w:tcPr>
          <w:p w14:paraId="6C6DFCB7"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prodaje robe koja je predata Upravi ili oduzeta u carinskom prekršajnom postupku</w:t>
            </w:r>
          </w:p>
        </w:tc>
        <w:tc>
          <w:tcPr>
            <w:tcW w:w="1424" w:type="dxa"/>
            <w:noWrap/>
            <w:vAlign w:val="center"/>
            <w:hideMark/>
          </w:tcPr>
          <w:p w14:paraId="5284D7B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513.846,21</w:t>
            </w:r>
          </w:p>
        </w:tc>
        <w:tc>
          <w:tcPr>
            <w:tcW w:w="1295" w:type="dxa"/>
            <w:vAlign w:val="center"/>
            <w:hideMark/>
          </w:tcPr>
          <w:p w14:paraId="4D545C3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14.829,76</w:t>
            </w:r>
          </w:p>
        </w:tc>
        <w:tc>
          <w:tcPr>
            <w:tcW w:w="1295" w:type="dxa"/>
            <w:vAlign w:val="center"/>
            <w:hideMark/>
          </w:tcPr>
          <w:p w14:paraId="3862E14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95.752,80</w:t>
            </w:r>
          </w:p>
        </w:tc>
        <w:tc>
          <w:tcPr>
            <w:tcW w:w="1424" w:type="dxa"/>
            <w:noWrap/>
            <w:vAlign w:val="center"/>
            <w:hideMark/>
          </w:tcPr>
          <w:p w14:paraId="44685FB1"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412.864,62</w:t>
            </w:r>
          </w:p>
        </w:tc>
        <w:tc>
          <w:tcPr>
            <w:tcW w:w="688" w:type="dxa"/>
            <w:noWrap/>
            <w:vAlign w:val="center"/>
            <w:hideMark/>
          </w:tcPr>
          <w:p w14:paraId="732BE46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75E68B8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884805B"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365F3E22" w14:textId="77777777" w:rsidTr="00512BE3">
        <w:trPr>
          <w:trHeight w:val="298"/>
        </w:trPr>
        <w:tc>
          <w:tcPr>
            <w:tcW w:w="782" w:type="dxa"/>
            <w:noWrap/>
            <w:vAlign w:val="center"/>
            <w:hideMark/>
          </w:tcPr>
          <w:p w14:paraId="0503D22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716131</w:t>
            </w:r>
          </w:p>
        </w:tc>
        <w:tc>
          <w:tcPr>
            <w:tcW w:w="2081" w:type="dxa"/>
            <w:noWrap/>
            <w:vAlign w:val="center"/>
            <w:hideMark/>
          </w:tcPr>
          <w:p w14:paraId="7EA0D8FB"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terminala</w:t>
            </w:r>
          </w:p>
        </w:tc>
        <w:tc>
          <w:tcPr>
            <w:tcW w:w="1424" w:type="dxa"/>
            <w:noWrap/>
            <w:vAlign w:val="center"/>
            <w:hideMark/>
          </w:tcPr>
          <w:p w14:paraId="7BB120B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18.259.585,87</w:t>
            </w:r>
          </w:p>
        </w:tc>
        <w:tc>
          <w:tcPr>
            <w:tcW w:w="1295" w:type="dxa"/>
            <w:noWrap/>
            <w:vAlign w:val="center"/>
            <w:hideMark/>
          </w:tcPr>
          <w:p w14:paraId="5540554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1.569.030,23</w:t>
            </w:r>
          </w:p>
        </w:tc>
        <w:tc>
          <w:tcPr>
            <w:tcW w:w="1295" w:type="dxa"/>
            <w:noWrap/>
            <w:vAlign w:val="center"/>
            <w:hideMark/>
          </w:tcPr>
          <w:p w14:paraId="2013A3E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1.555.034,15</w:t>
            </w:r>
          </w:p>
        </w:tc>
        <w:tc>
          <w:tcPr>
            <w:tcW w:w="1424" w:type="dxa"/>
            <w:noWrap/>
            <w:vAlign w:val="center"/>
            <w:hideMark/>
          </w:tcPr>
          <w:p w14:paraId="2C8400C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18.407.306,67</w:t>
            </w:r>
          </w:p>
        </w:tc>
        <w:tc>
          <w:tcPr>
            <w:tcW w:w="688" w:type="dxa"/>
            <w:noWrap/>
            <w:vAlign w:val="center"/>
            <w:hideMark/>
          </w:tcPr>
          <w:p w14:paraId="5F1FAC8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99,11</w:t>
            </w:r>
          </w:p>
        </w:tc>
        <w:tc>
          <w:tcPr>
            <w:tcW w:w="688" w:type="dxa"/>
            <w:noWrap/>
            <w:vAlign w:val="center"/>
            <w:hideMark/>
          </w:tcPr>
          <w:p w14:paraId="5D2AEB7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100,81</w:t>
            </w:r>
          </w:p>
        </w:tc>
        <w:tc>
          <w:tcPr>
            <w:tcW w:w="688" w:type="dxa"/>
            <w:noWrap/>
            <w:vAlign w:val="center"/>
            <w:hideMark/>
          </w:tcPr>
          <w:p w14:paraId="5298436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7B002199" w14:textId="77777777" w:rsidTr="00512BE3">
        <w:trPr>
          <w:trHeight w:val="298"/>
        </w:trPr>
        <w:tc>
          <w:tcPr>
            <w:tcW w:w="782" w:type="dxa"/>
            <w:noWrap/>
            <w:vAlign w:val="center"/>
            <w:hideMark/>
          </w:tcPr>
          <w:p w14:paraId="7EDF6528"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lastRenderedPageBreak/>
              <w:t>716132</w:t>
            </w:r>
          </w:p>
        </w:tc>
        <w:tc>
          <w:tcPr>
            <w:tcW w:w="2081" w:type="dxa"/>
            <w:noWrap/>
            <w:vAlign w:val="center"/>
            <w:hideMark/>
          </w:tcPr>
          <w:p w14:paraId="5B38A252"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zakupnina</w:t>
            </w:r>
          </w:p>
        </w:tc>
        <w:tc>
          <w:tcPr>
            <w:tcW w:w="1424" w:type="dxa"/>
            <w:noWrap/>
            <w:vAlign w:val="center"/>
            <w:hideMark/>
          </w:tcPr>
          <w:p w14:paraId="26B8081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542.479,24</w:t>
            </w:r>
          </w:p>
        </w:tc>
        <w:tc>
          <w:tcPr>
            <w:tcW w:w="1295" w:type="dxa"/>
            <w:vAlign w:val="center"/>
            <w:hideMark/>
          </w:tcPr>
          <w:p w14:paraId="7D1C490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60.387,54</w:t>
            </w:r>
          </w:p>
        </w:tc>
        <w:tc>
          <w:tcPr>
            <w:tcW w:w="1295" w:type="dxa"/>
            <w:vAlign w:val="center"/>
            <w:hideMark/>
          </w:tcPr>
          <w:p w14:paraId="412B75FA"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57.665,56</w:t>
            </w:r>
          </w:p>
        </w:tc>
        <w:tc>
          <w:tcPr>
            <w:tcW w:w="1424" w:type="dxa"/>
            <w:noWrap/>
            <w:vAlign w:val="center"/>
            <w:hideMark/>
          </w:tcPr>
          <w:p w14:paraId="3B59D43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614.688,05</w:t>
            </w:r>
          </w:p>
        </w:tc>
        <w:tc>
          <w:tcPr>
            <w:tcW w:w="688" w:type="dxa"/>
            <w:noWrap/>
            <w:vAlign w:val="center"/>
            <w:hideMark/>
          </w:tcPr>
          <w:p w14:paraId="002ECDA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95,49</w:t>
            </w:r>
          </w:p>
        </w:tc>
        <w:tc>
          <w:tcPr>
            <w:tcW w:w="688" w:type="dxa"/>
            <w:noWrap/>
            <w:vAlign w:val="center"/>
            <w:hideMark/>
          </w:tcPr>
          <w:p w14:paraId="1E94FFDA"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113,31</w:t>
            </w:r>
          </w:p>
        </w:tc>
        <w:tc>
          <w:tcPr>
            <w:tcW w:w="688" w:type="dxa"/>
            <w:noWrap/>
            <w:vAlign w:val="center"/>
            <w:hideMark/>
          </w:tcPr>
          <w:p w14:paraId="552802CC"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52AAAA5A" w14:textId="77777777" w:rsidTr="00512BE3">
        <w:trPr>
          <w:trHeight w:val="298"/>
        </w:trPr>
        <w:tc>
          <w:tcPr>
            <w:tcW w:w="782" w:type="dxa"/>
            <w:noWrap/>
            <w:vAlign w:val="center"/>
            <w:hideMark/>
          </w:tcPr>
          <w:p w14:paraId="4F15F473"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716133</w:t>
            </w:r>
          </w:p>
        </w:tc>
        <w:tc>
          <w:tcPr>
            <w:tcW w:w="2081" w:type="dxa"/>
            <w:vAlign w:val="center"/>
            <w:hideMark/>
          </w:tcPr>
          <w:p w14:paraId="184FC203"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skladištenja</w:t>
            </w:r>
          </w:p>
        </w:tc>
        <w:tc>
          <w:tcPr>
            <w:tcW w:w="1424" w:type="dxa"/>
            <w:noWrap/>
            <w:vAlign w:val="center"/>
            <w:hideMark/>
          </w:tcPr>
          <w:p w14:paraId="46D2A59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1A2743A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6F5C6265"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noWrap/>
            <w:vAlign w:val="center"/>
            <w:hideMark/>
          </w:tcPr>
          <w:p w14:paraId="4637A40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5F9C19DF"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w:t>
            </w:r>
          </w:p>
        </w:tc>
        <w:tc>
          <w:tcPr>
            <w:tcW w:w="688" w:type="dxa"/>
            <w:noWrap/>
            <w:vAlign w:val="center"/>
            <w:hideMark/>
          </w:tcPr>
          <w:p w14:paraId="029979D9"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w:t>
            </w:r>
          </w:p>
        </w:tc>
        <w:tc>
          <w:tcPr>
            <w:tcW w:w="688" w:type="dxa"/>
            <w:noWrap/>
            <w:vAlign w:val="center"/>
            <w:hideMark/>
          </w:tcPr>
          <w:p w14:paraId="54E43AA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49A03A1E" w14:textId="77777777" w:rsidTr="00512BE3">
        <w:trPr>
          <w:trHeight w:val="298"/>
        </w:trPr>
        <w:tc>
          <w:tcPr>
            <w:tcW w:w="782" w:type="dxa"/>
            <w:noWrap/>
            <w:vAlign w:val="center"/>
            <w:hideMark/>
          </w:tcPr>
          <w:p w14:paraId="78562A70"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716134</w:t>
            </w:r>
          </w:p>
        </w:tc>
        <w:tc>
          <w:tcPr>
            <w:tcW w:w="2081" w:type="dxa"/>
            <w:noWrap/>
            <w:vAlign w:val="center"/>
            <w:hideMark/>
          </w:tcPr>
          <w:p w14:paraId="1CA71289"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prodaje CT-DT obrazaca</w:t>
            </w:r>
          </w:p>
        </w:tc>
        <w:tc>
          <w:tcPr>
            <w:tcW w:w="1424" w:type="dxa"/>
            <w:noWrap/>
            <w:vAlign w:val="center"/>
            <w:hideMark/>
          </w:tcPr>
          <w:p w14:paraId="507ED16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2C337E9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295" w:type="dxa"/>
            <w:vAlign w:val="center"/>
            <w:hideMark/>
          </w:tcPr>
          <w:p w14:paraId="4E8CF0A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1424" w:type="dxa"/>
            <w:noWrap/>
            <w:vAlign w:val="center"/>
            <w:hideMark/>
          </w:tcPr>
          <w:p w14:paraId="0FF80EA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0,00</w:t>
            </w:r>
          </w:p>
        </w:tc>
        <w:tc>
          <w:tcPr>
            <w:tcW w:w="688" w:type="dxa"/>
            <w:noWrap/>
            <w:vAlign w:val="center"/>
            <w:hideMark/>
          </w:tcPr>
          <w:p w14:paraId="3A57F9E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C1B2B2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1954146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 </w:t>
            </w:r>
          </w:p>
        </w:tc>
      </w:tr>
      <w:tr w:rsidR="007615B0" w:rsidRPr="00512BE3" w14:paraId="5314FA14" w14:textId="77777777" w:rsidTr="00512BE3">
        <w:trPr>
          <w:trHeight w:val="298"/>
        </w:trPr>
        <w:tc>
          <w:tcPr>
            <w:tcW w:w="782" w:type="dxa"/>
            <w:noWrap/>
            <w:vAlign w:val="center"/>
            <w:hideMark/>
          </w:tcPr>
          <w:p w14:paraId="22E2644C"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716136</w:t>
            </w:r>
          </w:p>
        </w:tc>
        <w:tc>
          <w:tcPr>
            <w:tcW w:w="2081" w:type="dxa"/>
            <w:vAlign w:val="center"/>
            <w:hideMark/>
          </w:tcPr>
          <w:p w14:paraId="622E7174"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Naknadni teret prinude za carinske dažbine, ostale prihode i takse</w:t>
            </w:r>
          </w:p>
        </w:tc>
        <w:tc>
          <w:tcPr>
            <w:tcW w:w="1424" w:type="dxa"/>
            <w:noWrap/>
            <w:vAlign w:val="center"/>
            <w:hideMark/>
          </w:tcPr>
          <w:p w14:paraId="2AC351A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65.010,78</w:t>
            </w:r>
          </w:p>
        </w:tc>
        <w:tc>
          <w:tcPr>
            <w:tcW w:w="1295" w:type="dxa"/>
            <w:vAlign w:val="center"/>
            <w:hideMark/>
          </w:tcPr>
          <w:p w14:paraId="222107D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8.829,82</w:t>
            </w:r>
          </w:p>
        </w:tc>
        <w:tc>
          <w:tcPr>
            <w:tcW w:w="1295" w:type="dxa"/>
            <w:vAlign w:val="center"/>
            <w:hideMark/>
          </w:tcPr>
          <w:p w14:paraId="68372443"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3.956,29</w:t>
            </w:r>
          </w:p>
        </w:tc>
        <w:tc>
          <w:tcPr>
            <w:tcW w:w="1424" w:type="dxa"/>
            <w:noWrap/>
            <w:vAlign w:val="center"/>
            <w:hideMark/>
          </w:tcPr>
          <w:p w14:paraId="2677180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68.195,80</w:t>
            </w:r>
          </w:p>
        </w:tc>
        <w:tc>
          <w:tcPr>
            <w:tcW w:w="688" w:type="dxa"/>
            <w:noWrap/>
            <w:vAlign w:val="center"/>
            <w:hideMark/>
          </w:tcPr>
          <w:p w14:paraId="41E1776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44,81</w:t>
            </w:r>
          </w:p>
        </w:tc>
        <w:tc>
          <w:tcPr>
            <w:tcW w:w="688" w:type="dxa"/>
            <w:noWrap/>
            <w:vAlign w:val="center"/>
            <w:hideMark/>
          </w:tcPr>
          <w:p w14:paraId="01AF2A87"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104,90</w:t>
            </w:r>
          </w:p>
        </w:tc>
        <w:tc>
          <w:tcPr>
            <w:tcW w:w="688" w:type="dxa"/>
            <w:noWrap/>
            <w:vAlign w:val="center"/>
            <w:hideMark/>
          </w:tcPr>
          <w:p w14:paraId="37FF2AAD"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047C54C8" w14:textId="77777777" w:rsidTr="00512BE3">
        <w:trPr>
          <w:trHeight w:val="298"/>
        </w:trPr>
        <w:tc>
          <w:tcPr>
            <w:tcW w:w="782" w:type="dxa"/>
            <w:noWrap/>
            <w:vAlign w:val="center"/>
            <w:hideMark/>
          </w:tcPr>
          <w:p w14:paraId="66CAA9D4"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716137</w:t>
            </w:r>
          </w:p>
        </w:tc>
        <w:tc>
          <w:tcPr>
            <w:tcW w:w="2081" w:type="dxa"/>
            <w:vAlign w:val="center"/>
            <w:hideMark/>
          </w:tcPr>
          <w:p w14:paraId="07E21EAF"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Zatezna kamata za carinske dažbine, ostale prihode i takse</w:t>
            </w:r>
          </w:p>
        </w:tc>
        <w:tc>
          <w:tcPr>
            <w:tcW w:w="1424" w:type="dxa"/>
            <w:noWrap/>
            <w:vAlign w:val="center"/>
            <w:hideMark/>
          </w:tcPr>
          <w:p w14:paraId="08BFCBEF"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170.136,26</w:t>
            </w:r>
          </w:p>
        </w:tc>
        <w:tc>
          <w:tcPr>
            <w:tcW w:w="1295" w:type="dxa"/>
            <w:vAlign w:val="center"/>
            <w:hideMark/>
          </w:tcPr>
          <w:p w14:paraId="40FF57AE"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21.295,95</w:t>
            </w:r>
          </w:p>
        </w:tc>
        <w:tc>
          <w:tcPr>
            <w:tcW w:w="1295" w:type="dxa"/>
            <w:vAlign w:val="center"/>
            <w:hideMark/>
          </w:tcPr>
          <w:p w14:paraId="1ED38F7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16.800,17</w:t>
            </w:r>
          </w:p>
        </w:tc>
        <w:tc>
          <w:tcPr>
            <w:tcW w:w="1424" w:type="dxa"/>
            <w:noWrap/>
            <w:vAlign w:val="center"/>
            <w:hideMark/>
          </w:tcPr>
          <w:p w14:paraId="3533BF9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147.789,77</w:t>
            </w:r>
          </w:p>
        </w:tc>
        <w:tc>
          <w:tcPr>
            <w:tcW w:w="688" w:type="dxa"/>
            <w:noWrap/>
            <w:vAlign w:val="center"/>
            <w:hideMark/>
          </w:tcPr>
          <w:p w14:paraId="1D49EB42"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78,89</w:t>
            </w:r>
          </w:p>
        </w:tc>
        <w:tc>
          <w:tcPr>
            <w:tcW w:w="688" w:type="dxa"/>
            <w:noWrap/>
            <w:vAlign w:val="center"/>
            <w:hideMark/>
          </w:tcPr>
          <w:p w14:paraId="37D30FEE"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86,87</w:t>
            </w:r>
          </w:p>
        </w:tc>
        <w:tc>
          <w:tcPr>
            <w:tcW w:w="688" w:type="dxa"/>
            <w:noWrap/>
            <w:vAlign w:val="center"/>
            <w:hideMark/>
          </w:tcPr>
          <w:p w14:paraId="3716E5D8"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5693358E" w14:textId="77777777" w:rsidTr="00512BE3">
        <w:trPr>
          <w:trHeight w:val="298"/>
        </w:trPr>
        <w:tc>
          <w:tcPr>
            <w:tcW w:w="782" w:type="dxa"/>
            <w:noWrap/>
            <w:vAlign w:val="center"/>
            <w:hideMark/>
          </w:tcPr>
          <w:p w14:paraId="30CD30CF"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716138</w:t>
            </w:r>
          </w:p>
        </w:tc>
        <w:tc>
          <w:tcPr>
            <w:tcW w:w="2081" w:type="dxa"/>
            <w:vAlign w:val="center"/>
            <w:hideMark/>
          </w:tcPr>
          <w:p w14:paraId="4AD638DC"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Kazne za prekršaje shodno odredbama Zakona o akcizama</w:t>
            </w:r>
          </w:p>
        </w:tc>
        <w:tc>
          <w:tcPr>
            <w:tcW w:w="1424" w:type="dxa"/>
            <w:noWrap/>
            <w:vAlign w:val="center"/>
            <w:hideMark/>
          </w:tcPr>
          <w:p w14:paraId="17502A97"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69.070,00</w:t>
            </w:r>
          </w:p>
        </w:tc>
        <w:tc>
          <w:tcPr>
            <w:tcW w:w="1295" w:type="dxa"/>
            <w:vAlign w:val="center"/>
            <w:hideMark/>
          </w:tcPr>
          <w:p w14:paraId="797E8E1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25.040,00</w:t>
            </w:r>
          </w:p>
        </w:tc>
        <w:tc>
          <w:tcPr>
            <w:tcW w:w="1295" w:type="dxa"/>
            <w:vAlign w:val="center"/>
            <w:hideMark/>
          </w:tcPr>
          <w:p w14:paraId="071DDAC8"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9.992,20</w:t>
            </w:r>
          </w:p>
        </w:tc>
        <w:tc>
          <w:tcPr>
            <w:tcW w:w="1424" w:type="dxa"/>
            <w:noWrap/>
            <w:vAlign w:val="center"/>
            <w:hideMark/>
          </w:tcPr>
          <w:p w14:paraId="1F5ED6A4"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104.882,20</w:t>
            </w:r>
          </w:p>
        </w:tc>
        <w:tc>
          <w:tcPr>
            <w:tcW w:w="688" w:type="dxa"/>
            <w:noWrap/>
            <w:vAlign w:val="center"/>
            <w:hideMark/>
          </w:tcPr>
          <w:p w14:paraId="145D1CF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532CB28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74C8CDFC"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52924B5D" w14:textId="77777777" w:rsidTr="00512BE3">
        <w:trPr>
          <w:trHeight w:val="298"/>
        </w:trPr>
        <w:tc>
          <w:tcPr>
            <w:tcW w:w="782" w:type="dxa"/>
            <w:noWrap/>
            <w:vAlign w:val="center"/>
            <w:hideMark/>
          </w:tcPr>
          <w:p w14:paraId="687A6FE9"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716139</w:t>
            </w:r>
          </w:p>
        </w:tc>
        <w:tc>
          <w:tcPr>
            <w:tcW w:w="2081" w:type="dxa"/>
            <w:noWrap/>
            <w:vAlign w:val="center"/>
            <w:hideMark/>
          </w:tcPr>
          <w:p w14:paraId="3C2429FE"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Ostali prihodi</w:t>
            </w:r>
          </w:p>
        </w:tc>
        <w:tc>
          <w:tcPr>
            <w:tcW w:w="1424" w:type="dxa"/>
            <w:noWrap/>
            <w:vAlign w:val="center"/>
            <w:hideMark/>
          </w:tcPr>
          <w:p w14:paraId="526BC1C6"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79.001,73</w:t>
            </w:r>
          </w:p>
        </w:tc>
        <w:tc>
          <w:tcPr>
            <w:tcW w:w="1295" w:type="dxa"/>
            <w:vAlign w:val="center"/>
            <w:hideMark/>
          </w:tcPr>
          <w:p w14:paraId="0AF5B43B"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5.151,36</w:t>
            </w:r>
          </w:p>
        </w:tc>
        <w:tc>
          <w:tcPr>
            <w:tcW w:w="1295" w:type="dxa"/>
            <w:vAlign w:val="center"/>
            <w:hideMark/>
          </w:tcPr>
          <w:p w14:paraId="0F0FF31C"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1.435,76</w:t>
            </w:r>
          </w:p>
        </w:tc>
        <w:tc>
          <w:tcPr>
            <w:tcW w:w="1424" w:type="dxa"/>
            <w:noWrap/>
            <w:vAlign w:val="center"/>
            <w:hideMark/>
          </w:tcPr>
          <w:p w14:paraId="71EE2B12"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55.149,26</w:t>
            </w:r>
          </w:p>
        </w:tc>
        <w:tc>
          <w:tcPr>
            <w:tcW w:w="688" w:type="dxa"/>
            <w:noWrap/>
            <w:vAlign w:val="center"/>
            <w:hideMark/>
          </w:tcPr>
          <w:p w14:paraId="58F750B1"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2DF799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72481674"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1620C243" w14:textId="77777777" w:rsidTr="00512BE3">
        <w:trPr>
          <w:trHeight w:val="298"/>
        </w:trPr>
        <w:tc>
          <w:tcPr>
            <w:tcW w:w="782" w:type="dxa"/>
            <w:noWrap/>
            <w:vAlign w:val="center"/>
            <w:hideMark/>
          </w:tcPr>
          <w:p w14:paraId="516205ED"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716140</w:t>
            </w:r>
          </w:p>
        </w:tc>
        <w:tc>
          <w:tcPr>
            <w:tcW w:w="2081" w:type="dxa"/>
            <w:noWrap/>
            <w:vAlign w:val="center"/>
            <w:hideMark/>
          </w:tcPr>
          <w:p w14:paraId="388A3874" w14:textId="77777777" w:rsidR="006320E2" w:rsidRPr="00512BE3" w:rsidRDefault="006320E2" w:rsidP="007615B0">
            <w:pPr>
              <w:tabs>
                <w:tab w:val="left" w:pos="7335"/>
              </w:tabs>
              <w:rPr>
                <w:rFonts w:ascii="Arial" w:hAnsi="Arial" w:cs="Arial"/>
                <w:bCs/>
                <w:sz w:val="16"/>
                <w:szCs w:val="16"/>
              </w:rPr>
            </w:pPr>
            <w:r w:rsidRPr="00512BE3">
              <w:rPr>
                <w:rFonts w:ascii="Arial" w:hAnsi="Arial" w:cs="Arial"/>
                <w:bCs/>
                <w:sz w:val="16"/>
                <w:szCs w:val="16"/>
              </w:rPr>
              <w:t>Prihodi od izdavanja SMART CARD paketa</w:t>
            </w:r>
          </w:p>
        </w:tc>
        <w:tc>
          <w:tcPr>
            <w:tcW w:w="1424" w:type="dxa"/>
            <w:noWrap/>
            <w:vAlign w:val="center"/>
            <w:hideMark/>
          </w:tcPr>
          <w:p w14:paraId="29A48E7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73.440,00</w:t>
            </w:r>
          </w:p>
        </w:tc>
        <w:tc>
          <w:tcPr>
            <w:tcW w:w="1295" w:type="dxa"/>
            <w:vAlign w:val="center"/>
            <w:hideMark/>
          </w:tcPr>
          <w:p w14:paraId="28F91F6D"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180,00</w:t>
            </w:r>
          </w:p>
        </w:tc>
        <w:tc>
          <w:tcPr>
            <w:tcW w:w="1295" w:type="dxa"/>
            <w:vAlign w:val="center"/>
            <w:hideMark/>
          </w:tcPr>
          <w:p w14:paraId="78377009"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65.640,00</w:t>
            </w:r>
          </w:p>
        </w:tc>
        <w:tc>
          <w:tcPr>
            <w:tcW w:w="1424" w:type="dxa"/>
            <w:noWrap/>
            <w:vAlign w:val="center"/>
            <w:hideMark/>
          </w:tcPr>
          <w:p w14:paraId="01D20880" w14:textId="77777777" w:rsidR="006320E2" w:rsidRPr="00512BE3" w:rsidRDefault="006320E2" w:rsidP="006320E2">
            <w:pPr>
              <w:tabs>
                <w:tab w:val="left" w:pos="7335"/>
              </w:tabs>
              <w:jc w:val="right"/>
              <w:rPr>
                <w:rFonts w:ascii="Arial" w:hAnsi="Arial" w:cs="Arial"/>
                <w:bCs/>
                <w:sz w:val="16"/>
                <w:szCs w:val="16"/>
              </w:rPr>
            </w:pPr>
            <w:r w:rsidRPr="00512BE3">
              <w:rPr>
                <w:rFonts w:ascii="Arial" w:hAnsi="Arial" w:cs="Arial"/>
                <w:bCs/>
                <w:sz w:val="16"/>
                <w:szCs w:val="16"/>
              </w:rPr>
              <w:t>130.395,00</w:t>
            </w:r>
          </w:p>
        </w:tc>
        <w:tc>
          <w:tcPr>
            <w:tcW w:w="688" w:type="dxa"/>
            <w:noWrap/>
            <w:vAlign w:val="center"/>
            <w:hideMark/>
          </w:tcPr>
          <w:p w14:paraId="719CDA75"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975B10B" w14:textId="77777777" w:rsidR="006320E2" w:rsidRPr="00512BE3" w:rsidRDefault="006320E2" w:rsidP="006320E2">
            <w:pPr>
              <w:tabs>
                <w:tab w:val="left" w:pos="7335"/>
              </w:tabs>
              <w:jc w:val="both"/>
              <w:rPr>
                <w:rFonts w:ascii="Arial" w:hAnsi="Arial" w:cs="Arial"/>
                <w:bCs/>
                <w:sz w:val="16"/>
                <w:szCs w:val="16"/>
              </w:rPr>
            </w:pPr>
            <w:r w:rsidRPr="00512BE3">
              <w:rPr>
                <w:rFonts w:ascii="Arial" w:hAnsi="Arial" w:cs="Arial"/>
                <w:bCs/>
                <w:sz w:val="16"/>
                <w:szCs w:val="16"/>
              </w:rPr>
              <w:t>-</w:t>
            </w:r>
          </w:p>
        </w:tc>
        <w:tc>
          <w:tcPr>
            <w:tcW w:w="688" w:type="dxa"/>
            <w:noWrap/>
            <w:vAlign w:val="center"/>
            <w:hideMark/>
          </w:tcPr>
          <w:p w14:paraId="2315CB30"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22ABE2B9" w14:textId="77777777" w:rsidTr="00512BE3">
        <w:trPr>
          <w:trHeight w:val="298"/>
        </w:trPr>
        <w:tc>
          <w:tcPr>
            <w:tcW w:w="782" w:type="dxa"/>
            <w:shd w:val="clear" w:color="auto" w:fill="ACB9CA" w:themeFill="text2" w:themeFillTint="66"/>
            <w:noWrap/>
            <w:vAlign w:val="center"/>
            <w:hideMark/>
          </w:tcPr>
          <w:p w14:paraId="24746B8A" w14:textId="27314BE5" w:rsidR="009E1003"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I</w:t>
            </w:r>
          </w:p>
          <w:p w14:paraId="01C9454F" w14:textId="15777FF4" w:rsidR="006320E2" w:rsidRPr="00512BE3" w:rsidRDefault="006320E2" w:rsidP="009E1003">
            <w:pPr>
              <w:tabs>
                <w:tab w:val="left" w:pos="7335"/>
              </w:tabs>
              <w:jc w:val="center"/>
              <w:rPr>
                <w:rFonts w:ascii="Arial" w:hAnsi="Arial" w:cs="Arial"/>
                <w:b/>
                <w:bCs/>
                <w:sz w:val="16"/>
                <w:szCs w:val="16"/>
              </w:rPr>
            </w:pPr>
            <w:r w:rsidRPr="00512BE3">
              <w:rPr>
                <w:rFonts w:ascii="Arial" w:hAnsi="Arial" w:cs="Arial"/>
                <w:b/>
                <w:bCs/>
                <w:sz w:val="16"/>
                <w:szCs w:val="16"/>
              </w:rPr>
              <w:t>(1 do 6)</w:t>
            </w:r>
          </w:p>
        </w:tc>
        <w:tc>
          <w:tcPr>
            <w:tcW w:w="2081" w:type="dxa"/>
            <w:shd w:val="clear" w:color="auto" w:fill="ACB9CA" w:themeFill="text2" w:themeFillTint="66"/>
            <w:noWrap/>
            <w:vAlign w:val="center"/>
            <w:hideMark/>
          </w:tcPr>
          <w:p w14:paraId="21748752"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UKUPNO</w:t>
            </w:r>
          </w:p>
        </w:tc>
        <w:tc>
          <w:tcPr>
            <w:tcW w:w="1424" w:type="dxa"/>
            <w:shd w:val="clear" w:color="auto" w:fill="ACB9CA" w:themeFill="text2" w:themeFillTint="66"/>
            <w:noWrap/>
            <w:vAlign w:val="center"/>
            <w:hideMark/>
          </w:tcPr>
          <w:p w14:paraId="0E78214C"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8.432.657.781,23</w:t>
            </w:r>
          </w:p>
        </w:tc>
        <w:tc>
          <w:tcPr>
            <w:tcW w:w="1295" w:type="dxa"/>
            <w:shd w:val="clear" w:color="auto" w:fill="ACB9CA" w:themeFill="text2" w:themeFillTint="66"/>
            <w:noWrap/>
            <w:vAlign w:val="center"/>
            <w:hideMark/>
          </w:tcPr>
          <w:p w14:paraId="31A2162F"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793.619.048,81</w:t>
            </w:r>
          </w:p>
        </w:tc>
        <w:tc>
          <w:tcPr>
            <w:tcW w:w="1295" w:type="dxa"/>
            <w:shd w:val="clear" w:color="auto" w:fill="ACB9CA" w:themeFill="text2" w:themeFillTint="66"/>
            <w:noWrap/>
            <w:vAlign w:val="center"/>
            <w:hideMark/>
          </w:tcPr>
          <w:p w14:paraId="3239DE0B"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855.525.521,24</w:t>
            </w:r>
          </w:p>
        </w:tc>
        <w:tc>
          <w:tcPr>
            <w:tcW w:w="1424" w:type="dxa"/>
            <w:shd w:val="clear" w:color="auto" w:fill="ACB9CA" w:themeFill="text2" w:themeFillTint="66"/>
            <w:noWrap/>
            <w:vAlign w:val="center"/>
            <w:hideMark/>
          </w:tcPr>
          <w:p w14:paraId="7108251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9.881.251.740,80</w:t>
            </w:r>
          </w:p>
        </w:tc>
        <w:tc>
          <w:tcPr>
            <w:tcW w:w="688" w:type="dxa"/>
            <w:shd w:val="clear" w:color="auto" w:fill="ACB9CA" w:themeFill="text2" w:themeFillTint="66"/>
            <w:noWrap/>
            <w:vAlign w:val="center"/>
            <w:hideMark/>
          </w:tcPr>
          <w:p w14:paraId="608395B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107,80</w:t>
            </w:r>
          </w:p>
        </w:tc>
        <w:tc>
          <w:tcPr>
            <w:tcW w:w="688" w:type="dxa"/>
            <w:shd w:val="clear" w:color="auto" w:fill="ACB9CA" w:themeFill="text2" w:themeFillTint="66"/>
            <w:noWrap/>
            <w:vAlign w:val="center"/>
            <w:hideMark/>
          </w:tcPr>
          <w:p w14:paraId="33131CFE"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117,18</w:t>
            </w:r>
          </w:p>
        </w:tc>
        <w:tc>
          <w:tcPr>
            <w:tcW w:w="688" w:type="dxa"/>
            <w:shd w:val="clear" w:color="auto" w:fill="ACB9CA" w:themeFill="text2" w:themeFillTint="66"/>
            <w:noWrap/>
            <w:vAlign w:val="center"/>
            <w:hideMark/>
          </w:tcPr>
          <w:p w14:paraId="7F4C06C0"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w:t>
            </w:r>
          </w:p>
        </w:tc>
      </w:tr>
      <w:tr w:rsidR="007615B0" w:rsidRPr="00512BE3" w14:paraId="7E54CAF9" w14:textId="77777777" w:rsidTr="00512BE3">
        <w:trPr>
          <w:trHeight w:val="298"/>
        </w:trPr>
        <w:tc>
          <w:tcPr>
            <w:tcW w:w="782" w:type="dxa"/>
            <w:noWrap/>
            <w:vAlign w:val="center"/>
            <w:hideMark/>
          </w:tcPr>
          <w:p w14:paraId="37258722"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 xml:space="preserve">II </w:t>
            </w:r>
          </w:p>
        </w:tc>
        <w:tc>
          <w:tcPr>
            <w:tcW w:w="2081" w:type="dxa"/>
            <w:noWrap/>
            <w:vAlign w:val="center"/>
            <w:hideMark/>
          </w:tcPr>
          <w:p w14:paraId="35BDF879"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Neusklađeni prihodi- ukupno</w:t>
            </w:r>
          </w:p>
        </w:tc>
        <w:tc>
          <w:tcPr>
            <w:tcW w:w="1424" w:type="dxa"/>
            <w:noWrap/>
            <w:vAlign w:val="center"/>
            <w:hideMark/>
          </w:tcPr>
          <w:p w14:paraId="53F1FA9F"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13.220.992,65</w:t>
            </w:r>
          </w:p>
        </w:tc>
        <w:tc>
          <w:tcPr>
            <w:tcW w:w="1295" w:type="dxa"/>
            <w:noWrap/>
            <w:vAlign w:val="center"/>
            <w:hideMark/>
          </w:tcPr>
          <w:p w14:paraId="0528763D"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0,00</w:t>
            </w:r>
          </w:p>
        </w:tc>
        <w:tc>
          <w:tcPr>
            <w:tcW w:w="1295" w:type="dxa"/>
            <w:vAlign w:val="center"/>
            <w:hideMark/>
          </w:tcPr>
          <w:p w14:paraId="7C4CB8C8"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0,00</w:t>
            </w:r>
          </w:p>
        </w:tc>
        <w:tc>
          <w:tcPr>
            <w:tcW w:w="1424" w:type="dxa"/>
            <w:noWrap/>
            <w:vAlign w:val="center"/>
            <w:hideMark/>
          </w:tcPr>
          <w:p w14:paraId="2659BA75"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45.135.395,34</w:t>
            </w:r>
          </w:p>
        </w:tc>
        <w:tc>
          <w:tcPr>
            <w:tcW w:w="688" w:type="dxa"/>
            <w:noWrap/>
            <w:vAlign w:val="center"/>
            <w:hideMark/>
          </w:tcPr>
          <w:p w14:paraId="5B52E043"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w:t>
            </w:r>
          </w:p>
        </w:tc>
        <w:tc>
          <w:tcPr>
            <w:tcW w:w="688" w:type="dxa"/>
            <w:noWrap/>
            <w:vAlign w:val="center"/>
            <w:hideMark/>
          </w:tcPr>
          <w:p w14:paraId="1572484E"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w:t>
            </w:r>
          </w:p>
        </w:tc>
        <w:tc>
          <w:tcPr>
            <w:tcW w:w="688" w:type="dxa"/>
            <w:noWrap/>
            <w:vAlign w:val="center"/>
            <w:hideMark/>
          </w:tcPr>
          <w:p w14:paraId="5C4C8345"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0,45</w:t>
            </w:r>
          </w:p>
        </w:tc>
      </w:tr>
      <w:tr w:rsidR="007615B0" w:rsidRPr="00512BE3" w14:paraId="09F678A2" w14:textId="77777777" w:rsidTr="00512BE3">
        <w:trPr>
          <w:trHeight w:val="298"/>
        </w:trPr>
        <w:tc>
          <w:tcPr>
            <w:tcW w:w="782" w:type="dxa"/>
            <w:shd w:val="clear" w:color="auto" w:fill="8EAADB" w:themeFill="accent5" w:themeFillTint="99"/>
            <w:noWrap/>
            <w:vAlign w:val="center"/>
            <w:hideMark/>
          </w:tcPr>
          <w:p w14:paraId="15FBBBA7"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III (I+II)</w:t>
            </w:r>
          </w:p>
        </w:tc>
        <w:tc>
          <w:tcPr>
            <w:tcW w:w="2081" w:type="dxa"/>
            <w:shd w:val="clear" w:color="auto" w:fill="8EAADB" w:themeFill="accent5" w:themeFillTint="99"/>
            <w:noWrap/>
            <w:vAlign w:val="center"/>
            <w:hideMark/>
          </w:tcPr>
          <w:p w14:paraId="755ABF9F" w14:textId="77777777" w:rsidR="006320E2" w:rsidRPr="00512BE3" w:rsidRDefault="006320E2" w:rsidP="007615B0">
            <w:pPr>
              <w:tabs>
                <w:tab w:val="left" w:pos="7335"/>
              </w:tabs>
              <w:rPr>
                <w:rFonts w:ascii="Arial" w:hAnsi="Arial" w:cs="Arial"/>
                <w:b/>
                <w:bCs/>
                <w:sz w:val="16"/>
                <w:szCs w:val="16"/>
              </w:rPr>
            </w:pPr>
            <w:r w:rsidRPr="00512BE3">
              <w:rPr>
                <w:rFonts w:ascii="Arial" w:hAnsi="Arial" w:cs="Arial"/>
                <w:b/>
                <w:bCs/>
                <w:sz w:val="16"/>
                <w:szCs w:val="16"/>
              </w:rPr>
              <w:t>UKUPNO</w:t>
            </w:r>
          </w:p>
        </w:tc>
        <w:tc>
          <w:tcPr>
            <w:tcW w:w="1424" w:type="dxa"/>
            <w:shd w:val="clear" w:color="auto" w:fill="8EAADB" w:themeFill="accent5" w:themeFillTint="99"/>
            <w:noWrap/>
            <w:vAlign w:val="center"/>
            <w:hideMark/>
          </w:tcPr>
          <w:p w14:paraId="35761B51"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8.445.878.773,88</w:t>
            </w:r>
          </w:p>
        </w:tc>
        <w:tc>
          <w:tcPr>
            <w:tcW w:w="1295" w:type="dxa"/>
            <w:shd w:val="clear" w:color="auto" w:fill="8EAADB" w:themeFill="accent5" w:themeFillTint="99"/>
            <w:noWrap/>
            <w:vAlign w:val="center"/>
            <w:hideMark/>
          </w:tcPr>
          <w:p w14:paraId="0F02C347"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793.619.048,81</w:t>
            </w:r>
          </w:p>
        </w:tc>
        <w:tc>
          <w:tcPr>
            <w:tcW w:w="1295" w:type="dxa"/>
            <w:shd w:val="clear" w:color="auto" w:fill="8EAADB" w:themeFill="accent5" w:themeFillTint="99"/>
            <w:vAlign w:val="center"/>
            <w:hideMark/>
          </w:tcPr>
          <w:p w14:paraId="780A2DE4"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855.525.521,24</w:t>
            </w:r>
          </w:p>
        </w:tc>
        <w:tc>
          <w:tcPr>
            <w:tcW w:w="1424" w:type="dxa"/>
            <w:shd w:val="clear" w:color="auto" w:fill="8EAADB" w:themeFill="accent5" w:themeFillTint="99"/>
            <w:noWrap/>
            <w:vAlign w:val="center"/>
            <w:hideMark/>
          </w:tcPr>
          <w:p w14:paraId="398F7F63" w14:textId="77777777" w:rsidR="006320E2" w:rsidRPr="00512BE3" w:rsidRDefault="006320E2" w:rsidP="006320E2">
            <w:pPr>
              <w:tabs>
                <w:tab w:val="left" w:pos="7335"/>
              </w:tabs>
              <w:jc w:val="right"/>
              <w:rPr>
                <w:rFonts w:ascii="Arial" w:hAnsi="Arial" w:cs="Arial"/>
                <w:b/>
                <w:bCs/>
                <w:sz w:val="16"/>
                <w:szCs w:val="16"/>
              </w:rPr>
            </w:pPr>
            <w:r w:rsidRPr="00512BE3">
              <w:rPr>
                <w:rFonts w:ascii="Arial" w:hAnsi="Arial" w:cs="Arial"/>
                <w:b/>
                <w:bCs/>
                <w:sz w:val="16"/>
                <w:szCs w:val="16"/>
              </w:rPr>
              <w:t>9.926.387.136,14</w:t>
            </w:r>
          </w:p>
        </w:tc>
        <w:tc>
          <w:tcPr>
            <w:tcW w:w="688" w:type="dxa"/>
            <w:shd w:val="clear" w:color="auto" w:fill="8EAADB" w:themeFill="accent5" w:themeFillTint="99"/>
            <w:noWrap/>
            <w:vAlign w:val="center"/>
            <w:hideMark/>
          </w:tcPr>
          <w:p w14:paraId="5116C0AC"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107,80</w:t>
            </w:r>
          </w:p>
        </w:tc>
        <w:tc>
          <w:tcPr>
            <w:tcW w:w="688" w:type="dxa"/>
            <w:shd w:val="clear" w:color="auto" w:fill="8EAADB" w:themeFill="accent5" w:themeFillTint="99"/>
            <w:noWrap/>
            <w:vAlign w:val="center"/>
            <w:hideMark/>
          </w:tcPr>
          <w:p w14:paraId="70EA59CD"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117,53</w:t>
            </w:r>
          </w:p>
        </w:tc>
        <w:tc>
          <w:tcPr>
            <w:tcW w:w="688" w:type="dxa"/>
            <w:shd w:val="clear" w:color="auto" w:fill="8EAADB" w:themeFill="accent5" w:themeFillTint="99"/>
            <w:noWrap/>
            <w:vAlign w:val="center"/>
            <w:hideMark/>
          </w:tcPr>
          <w:p w14:paraId="69840D13" w14:textId="77777777" w:rsidR="006320E2" w:rsidRPr="00512BE3" w:rsidRDefault="006320E2" w:rsidP="006320E2">
            <w:pPr>
              <w:tabs>
                <w:tab w:val="left" w:pos="7335"/>
              </w:tabs>
              <w:jc w:val="both"/>
              <w:rPr>
                <w:rFonts w:ascii="Arial" w:hAnsi="Arial" w:cs="Arial"/>
                <w:b/>
                <w:bCs/>
                <w:sz w:val="16"/>
                <w:szCs w:val="16"/>
              </w:rPr>
            </w:pPr>
            <w:r w:rsidRPr="00512BE3">
              <w:rPr>
                <w:rFonts w:ascii="Arial" w:hAnsi="Arial" w:cs="Arial"/>
                <w:b/>
                <w:bCs/>
                <w:sz w:val="16"/>
                <w:szCs w:val="16"/>
              </w:rPr>
              <w:t>100,00</w:t>
            </w:r>
          </w:p>
        </w:tc>
      </w:tr>
    </w:tbl>
    <w:p w14:paraId="18DBE236" w14:textId="0BB1431A" w:rsidR="00444F7B" w:rsidRPr="00967B78" w:rsidRDefault="006320E2" w:rsidP="00056D2B">
      <w:pPr>
        <w:tabs>
          <w:tab w:val="left" w:pos="7335"/>
        </w:tabs>
        <w:jc w:val="both"/>
        <w:rPr>
          <w:bCs/>
          <w:sz w:val="22"/>
          <w:szCs w:val="22"/>
          <w:lang w:val="sr-Latn-BA"/>
        </w:rPr>
      </w:pPr>
      <w:r w:rsidRPr="00512BE3">
        <w:rPr>
          <w:bCs/>
          <w:sz w:val="22"/>
          <w:szCs w:val="22"/>
          <w:lang w:val="sr-Latn-BA"/>
        </w:rPr>
        <w:fldChar w:fldCharType="end"/>
      </w:r>
    </w:p>
    <w:sectPr w:rsidR="00444F7B" w:rsidRPr="00967B78" w:rsidSect="00193B94">
      <w:footerReference w:type="default" r:id="rId16"/>
      <w:pgSz w:w="11906" w:h="16838"/>
      <w:pgMar w:top="426" w:right="1134" w:bottom="1418" w:left="85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DD48" w14:textId="77777777" w:rsidR="001538CB" w:rsidRDefault="001538CB" w:rsidP="00E62618">
      <w:r>
        <w:separator/>
      </w:r>
    </w:p>
  </w:endnote>
  <w:endnote w:type="continuationSeparator" w:id="0">
    <w:p w14:paraId="6AE76D58" w14:textId="77777777" w:rsidR="001538CB" w:rsidRDefault="001538CB" w:rsidP="00E6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00002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OKJGF D+ TT E 19 F 73 F 8t 00">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CB5F" w14:textId="3F3D66FD" w:rsidR="00A47E8A" w:rsidRDefault="00A47E8A">
    <w:pPr>
      <w:pStyle w:val="Footer"/>
      <w:jc w:val="right"/>
    </w:pPr>
    <w:r>
      <w:fldChar w:fldCharType="begin"/>
    </w:r>
    <w:r>
      <w:instrText xml:space="preserve"> PAGE   \* MERGEFORMAT </w:instrText>
    </w:r>
    <w:r>
      <w:fldChar w:fldCharType="separate"/>
    </w:r>
    <w:r w:rsidR="00FD5FA8">
      <w:rPr>
        <w:noProof/>
      </w:rPr>
      <w:t>13</w:t>
    </w:r>
    <w:r>
      <w:rPr>
        <w:noProof/>
      </w:rPr>
      <w:fldChar w:fldCharType="end"/>
    </w:r>
  </w:p>
  <w:p w14:paraId="7EF8F3C5" w14:textId="77777777" w:rsidR="00A47E8A" w:rsidRDefault="00A47E8A" w:rsidP="0053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7226" w14:textId="77777777" w:rsidR="00A47E8A" w:rsidRDefault="00A47E8A" w:rsidP="003B1A85">
    <w:pPr>
      <w:pStyle w:val="Footer"/>
      <w:jc w:val="center"/>
    </w:pPr>
  </w:p>
  <w:p w14:paraId="03ECE8AF" w14:textId="77777777" w:rsidR="00A47E8A" w:rsidRDefault="00A47E8A" w:rsidP="0053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8633F" w14:textId="77777777" w:rsidR="001538CB" w:rsidRDefault="001538CB" w:rsidP="00E62618">
      <w:r>
        <w:separator/>
      </w:r>
    </w:p>
  </w:footnote>
  <w:footnote w:type="continuationSeparator" w:id="0">
    <w:p w14:paraId="367E6109" w14:textId="77777777" w:rsidR="001538CB" w:rsidRDefault="001538CB" w:rsidP="00E6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6CDD08"/>
    <w:lvl w:ilvl="0">
      <w:start w:val="1"/>
      <w:numFmt w:val="decimal"/>
      <w:pStyle w:val="ListNumber"/>
      <w:lvlText w:val="%1."/>
      <w:lvlJc w:val="left"/>
      <w:pPr>
        <w:tabs>
          <w:tab w:val="num" w:pos="360"/>
        </w:tabs>
        <w:ind w:left="360" w:hanging="360"/>
      </w:pPr>
    </w:lvl>
  </w:abstractNum>
  <w:abstractNum w:abstractNumId="1" w15:restartNumberingAfterBreak="0">
    <w:nsid w:val="020F22C9"/>
    <w:multiLevelType w:val="hybridMultilevel"/>
    <w:tmpl w:val="83F03422"/>
    <w:lvl w:ilvl="0" w:tplc="18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621D06"/>
    <w:multiLevelType w:val="hybridMultilevel"/>
    <w:tmpl w:val="4CFCB0FE"/>
    <w:lvl w:ilvl="0" w:tplc="5628CA0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442F05"/>
    <w:multiLevelType w:val="hybridMultilevel"/>
    <w:tmpl w:val="8AFC7DFC"/>
    <w:lvl w:ilvl="0" w:tplc="252EA8F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F2094"/>
    <w:multiLevelType w:val="hybridMultilevel"/>
    <w:tmpl w:val="2FB6DD6E"/>
    <w:lvl w:ilvl="0" w:tplc="EF7C0D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05DB2"/>
    <w:multiLevelType w:val="hybridMultilevel"/>
    <w:tmpl w:val="9B50E962"/>
    <w:lvl w:ilvl="0" w:tplc="DDE4153C">
      <w:start w:val="1"/>
      <w:numFmt w:val="decimal"/>
      <w:pStyle w:val="IntenseQuote"/>
      <w:lvlText w:val="6.%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15:restartNumberingAfterBreak="0">
    <w:nsid w:val="1924362E"/>
    <w:multiLevelType w:val="hybridMultilevel"/>
    <w:tmpl w:val="7E482372"/>
    <w:lvl w:ilvl="0" w:tplc="E7F89D16">
      <w:numFmt w:val="bullet"/>
      <w:lvlText w:val="-"/>
      <w:lvlJc w:val="left"/>
      <w:pPr>
        <w:ind w:left="720" w:hanging="360"/>
      </w:pPr>
      <w:rPr>
        <w:rFonts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cs="Wingdings" w:hint="default"/>
      </w:rPr>
    </w:lvl>
    <w:lvl w:ilvl="3" w:tplc="181A0001">
      <w:start w:val="1"/>
      <w:numFmt w:val="bullet"/>
      <w:lvlText w:val=""/>
      <w:lvlJc w:val="left"/>
      <w:pPr>
        <w:ind w:left="2880" w:hanging="360"/>
      </w:pPr>
      <w:rPr>
        <w:rFonts w:ascii="Symbol" w:hAnsi="Symbol" w:cs="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cs="Wingdings" w:hint="default"/>
      </w:rPr>
    </w:lvl>
    <w:lvl w:ilvl="6" w:tplc="181A0001">
      <w:start w:val="1"/>
      <w:numFmt w:val="bullet"/>
      <w:lvlText w:val=""/>
      <w:lvlJc w:val="left"/>
      <w:pPr>
        <w:ind w:left="5040" w:hanging="360"/>
      </w:pPr>
      <w:rPr>
        <w:rFonts w:ascii="Symbol" w:hAnsi="Symbol" w:cs="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cs="Wingdings" w:hint="default"/>
      </w:rPr>
    </w:lvl>
  </w:abstractNum>
  <w:abstractNum w:abstractNumId="7" w15:restartNumberingAfterBreak="0">
    <w:nsid w:val="1F1513C5"/>
    <w:multiLevelType w:val="multilevel"/>
    <w:tmpl w:val="6C8EF332"/>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0E06349"/>
    <w:multiLevelType w:val="hybridMultilevel"/>
    <w:tmpl w:val="2F64924E"/>
    <w:lvl w:ilvl="0" w:tplc="041A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22A1E"/>
    <w:multiLevelType w:val="multilevel"/>
    <w:tmpl w:val="DD3015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38482A"/>
    <w:multiLevelType w:val="hybridMultilevel"/>
    <w:tmpl w:val="558C605A"/>
    <w:lvl w:ilvl="0" w:tplc="E0D6F32A">
      <w:start w:val="1"/>
      <w:numFmt w:val="decimal"/>
      <w:pStyle w:val="SKVPunkt"/>
      <w:lvlText w:val="1.%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15:restartNumberingAfterBreak="0">
    <w:nsid w:val="2E373CC4"/>
    <w:multiLevelType w:val="hybridMultilevel"/>
    <w:tmpl w:val="C68A44FC"/>
    <w:lvl w:ilvl="0" w:tplc="EF7C0DA6">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08BD"/>
    <w:multiLevelType w:val="hybridMultilevel"/>
    <w:tmpl w:val="D90C45BC"/>
    <w:lvl w:ilvl="0" w:tplc="C80C036E">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18573C8"/>
    <w:multiLevelType w:val="hybridMultilevel"/>
    <w:tmpl w:val="D7AA2D92"/>
    <w:lvl w:ilvl="0" w:tplc="EF7C0DA6">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73922"/>
    <w:multiLevelType w:val="hybridMultilevel"/>
    <w:tmpl w:val="DFF68B94"/>
    <w:lvl w:ilvl="0" w:tplc="28EA11AA">
      <w:start w:val="1"/>
      <w:numFmt w:val="decimal"/>
      <w:pStyle w:val="Quote"/>
      <w:lvlText w:val="5.%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5" w15:restartNumberingAfterBreak="0">
    <w:nsid w:val="3FFC60F5"/>
    <w:multiLevelType w:val="hybridMultilevel"/>
    <w:tmpl w:val="E7D0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6D79"/>
    <w:multiLevelType w:val="hybridMultilevel"/>
    <w:tmpl w:val="5704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C2827"/>
    <w:multiLevelType w:val="hybridMultilevel"/>
    <w:tmpl w:val="4C3C30FE"/>
    <w:lvl w:ilvl="0" w:tplc="767A9326">
      <w:start w:val="1"/>
      <w:numFmt w:val="decimal"/>
      <w:pStyle w:val="Subtitle"/>
      <w:lvlText w:val="3.%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15:restartNumberingAfterBreak="0">
    <w:nsid w:val="465D186B"/>
    <w:multiLevelType w:val="hybridMultilevel"/>
    <w:tmpl w:val="EBF4870C"/>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15:restartNumberingAfterBreak="0">
    <w:nsid w:val="474E46DF"/>
    <w:multiLevelType w:val="hybridMultilevel"/>
    <w:tmpl w:val="1EB2EB8C"/>
    <w:lvl w:ilvl="0" w:tplc="041A0005">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329A4"/>
    <w:multiLevelType w:val="hybridMultilevel"/>
    <w:tmpl w:val="7834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4AC"/>
    <w:multiLevelType w:val="hybridMultilevel"/>
    <w:tmpl w:val="87241A2E"/>
    <w:lvl w:ilvl="0" w:tplc="181A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15C6E"/>
    <w:multiLevelType w:val="hybridMultilevel"/>
    <w:tmpl w:val="5C4C4538"/>
    <w:lvl w:ilvl="0" w:tplc="141A0011">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F51647E"/>
    <w:multiLevelType w:val="hybridMultilevel"/>
    <w:tmpl w:val="AC604D98"/>
    <w:lvl w:ilvl="0" w:tplc="041A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E0477"/>
    <w:multiLevelType w:val="hybridMultilevel"/>
    <w:tmpl w:val="16668D70"/>
    <w:lvl w:ilvl="0" w:tplc="E35249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C02B0"/>
    <w:multiLevelType w:val="hybridMultilevel"/>
    <w:tmpl w:val="29C0F858"/>
    <w:lvl w:ilvl="0" w:tplc="0B38B5C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8461440"/>
    <w:multiLevelType w:val="hybridMultilevel"/>
    <w:tmpl w:val="6B785FCE"/>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10DC2"/>
    <w:multiLevelType w:val="hybridMultilevel"/>
    <w:tmpl w:val="EE748120"/>
    <w:lvl w:ilvl="0" w:tplc="54F494BC">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8" w15:restartNumberingAfterBreak="0">
    <w:nsid w:val="75175351"/>
    <w:multiLevelType w:val="hybridMultilevel"/>
    <w:tmpl w:val="2060584A"/>
    <w:lvl w:ilvl="0" w:tplc="EF7C0D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E031C"/>
    <w:multiLevelType w:val="hybridMultilevel"/>
    <w:tmpl w:val="EE4C9A50"/>
    <w:lvl w:ilvl="0" w:tplc="EC74C73C">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num>
  <w:num w:numId="3">
    <w:abstractNumId w:val="10"/>
  </w:num>
  <w:num w:numId="4">
    <w:abstractNumId w:val="17"/>
  </w:num>
  <w:num w:numId="5">
    <w:abstractNumId w:val="14"/>
  </w:num>
  <w:num w:numId="6">
    <w:abstractNumId w:val="5"/>
  </w:num>
  <w:num w:numId="7">
    <w:abstractNumId w:val="16"/>
  </w:num>
  <w:num w:numId="8">
    <w:abstractNumId w:val="23"/>
  </w:num>
  <w:num w:numId="9">
    <w:abstractNumId w:val="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28"/>
  </w:num>
  <w:num w:numId="14">
    <w:abstractNumId w:val="15"/>
  </w:num>
  <w:num w:numId="15">
    <w:abstractNumId w:val="8"/>
  </w:num>
  <w:num w:numId="16">
    <w:abstractNumId w:val="19"/>
  </w:num>
  <w:num w:numId="17">
    <w:abstractNumId w:val="13"/>
  </w:num>
  <w:num w:numId="18">
    <w:abstractNumId w:val="27"/>
  </w:num>
  <w:num w:numId="19">
    <w:abstractNumId w:val="29"/>
  </w:num>
  <w:num w:numId="20">
    <w:abstractNumId w:val="3"/>
  </w:num>
  <w:num w:numId="21">
    <w:abstractNumId w:val="24"/>
  </w:num>
  <w:num w:numId="22">
    <w:abstractNumId w:val="12"/>
  </w:num>
  <w:num w:numId="23">
    <w:abstractNumId w:val="22"/>
  </w:num>
  <w:num w:numId="24">
    <w:abstractNumId w:val="20"/>
  </w:num>
  <w:num w:numId="25">
    <w:abstractNumId w:val="6"/>
  </w:num>
  <w:num w:numId="26">
    <w:abstractNumId w:val="2"/>
  </w:num>
  <w:num w:numId="27">
    <w:abstractNumId w:val="21"/>
  </w:num>
  <w:num w:numId="28">
    <w:abstractNumId w:val="1"/>
  </w:num>
  <w:num w:numId="29">
    <w:abstractNumId w:val="18"/>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8"/>
    <w:rsid w:val="00000ADB"/>
    <w:rsid w:val="00000B3C"/>
    <w:rsid w:val="00001741"/>
    <w:rsid w:val="00001D00"/>
    <w:rsid w:val="00001D31"/>
    <w:rsid w:val="00001D6C"/>
    <w:rsid w:val="00002050"/>
    <w:rsid w:val="00005054"/>
    <w:rsid w:val="00005B7F"/>
    <w:rsid w:val="00006384"/>
    <w:rsid w:val="00006CD5"/>
    <w:rsid w:val="00007857"/>
    <w:rsid w:val="00010E82"/>
    <w:rsid w:val="0001141B"/>
    <w:rsid w:val="000118D1"/>
    <w:rsid w:val="00011A00"/>
    <w:rsid w:val="00011D1F"/>
    <w:rsid w:val="0001332C"/>
    <w:rsid w:val="00014A0F"/>
    <w:rsid w:val="000155EE"/>
    <w:rsid w:val="00016EB7"/>
    <w:rsid w:val="00017206"/>
    <w:rsid w:val="000176B7"/>
    <w:rsid w:val="000177C3"/>
    <w:rsid w:val="00020790"/>
    <w:rsid w:val="000207FE"/>
    <w:rsid w:val="0002086B"/>
    <w:rsid w:val="00020A89"/>
    <w:rsid w:val="00020B72"/>
    <w:rsid w:val="000214A3"/>
    <w:rsid w:val="00021CDA"/>
    <w:rsid w:val="00021CFD"/>
    <w:rsid w:val="00022129"/>
    <w:rsid w:val="000222A6"/>
    <w:rsid w:val="00022415"/>
    <w:rsid w:val="00022831"/>
    <w:rsid w:val="000228D4"/>
    <w:rsid w:val="00022DDA"/>
    <w:rsid w:val="00023182"/>
    <w:rsid w:val="00023A22"/>
    <w:rsid w:val="00023AB2"/>
    <w:rsid w:val="0002492D"/>
    <w:rsid w:val="00025E41"/>
    <w:rsid w:val="00026C59"/>
    <w:rsid w:val="0002768C"/>
    <w:rsid w:val="00031440"/>
    <w:rsid w:val="00033D70"/>
    <w:rsid w:val="00033E77"/>
    <w:rsid w:val="00034686"/>
    <w:rsid w:val="00034BCF"/>
    <w:rsid w:val="000367AA"/>
    <w:rsid w:val="0003690F"/>
    <w:rsid w:val="00037782"/>
    <w:rsid w:val="0003779F"/>
    <w:rsid w:val="00037AB6"/>
    <w:rsid w:val="00040502"/>
    <w:rsid w:val="00040E93"/>
    <w:rsid w:val="00041E12"/>
    <w:rsid w:val="00043245"/>
    <w:rsid w:val="000433A4"/>
    <w:rsid w:val="0004545C"/>
    <w:rsid w:val="000457C3"/>
    <w:rsid w:val="000464C7"/>
    <w:rsid w:val="000468F9"/>
    <w:rsid w:val="00046E3C"/>
    <w:rsid w:val="000473B3"/>
    <w:rsid w:val="0004766A"/>
    <w:rsid w:val="00050B48"/>
    <w:rsid w:val="000526AB"/>
    <w:rsid w:val="00052856"/>
    <w:rsid w:val="00052EE6"/>
    <w:rsid w:val="000530B0"/>
    <w:rsid w:val="00053108"/>
    <w:rsid w:val="00053990"/>
    <w:rsid w:val="00053EBE"/>
    <w:rsid w:val="00054651"/>
    <w:rsid w:val="00056D2B"/>
    <w:rsid w:val="00056D96"/>
    <w:rsid w:val="0005708F"/>
    <w:rsid w:val="000574D5"/>
    <w:rsid w:val="00057731"/>
    <w:rsid w:val="000605C4"/>
    <w:rsid w:val="0006152F"/>
    <w:rsid w:val="00061799"/>
    <w:rsid w:val="00061DC9"/>
    <w:rsid w:val="00061EE4"/>
    <w:rsid w:val="00062DD0"/>
    <w:rsid w:val="00062FF9"/>
    <w:rsid w:val="000638D5"/>
    <w:rsid w:val="00066112"/>
    <w:rsid w:val="000675C4"/>
    <w:rsid w:val="00067AD1"/>
    <w:rsid w:val="0007037D"/>
    <w:rsid w:val="00070700"/>
    <w:rsid w:val="00071474"/>
    <w:rsid w:val="0007155D"/>
    <w:rsid w:val="0007193A"/>
    <w:rsid w:val="0007235E"/>
    <w:rsid w:val="00072528"/>
    <w:rsid w:val="00074079"/>
    <w:rsid w:val="00074706"/>
    <w:rsid w:val="0007519C"/>
    <w:rsid w:val="00075213"/>
    <w:rsid w:val="000753F2"/>
    <w:rsid w:val="00075E07"/>
    <w:rsid w:val="00075EFF"/>
    <w:rsid w:val="000765DD"/>
    <w:rsid w:val="000775B0"/>
    <w:rsid w:val="00077D46"/>
    <w:rsid w:val="000804B6"/>
    <w:rsid w:val="000809AD"/>
    <w:rsid w:val="00080E3F"/>
    <w:rsid w:val="00081506"/>
    <w:rsid w:val="00081A97"/>
    <w:rsid w:val="000833B0"/>
    <w:rsid w:val="00083783"/>
    <w:rsid w:val="00083B5A"/>
    <w:rsid w:val="00084A4E"/>
    <w:rsid w:val="000859FF"/>
    <w:rsid w:val="00085D7A"/>
    <w:rsid w:val="000870A2"/>
    <w:rsid w:val="000875EF"/>
    <w:rsid w:val="00087B35"/>
    <w:rsid w:val="000903E3"/>
    <w:rsid w:val="0009044F"/>
    <w:rsid w:val="00090CED"/>
    <w:rsid w:val="00091478"/>
    <w:rsid w:val="00092715"/>
    <w:rsid w:val="00092821"/>
    <w:rsid w:val="00092D99"/>
    <w:rsid w:val="00093095"/>
    <w:rsid w:val="00095433"/>
    <w:rsid w:val="000965F6"/>
    <w:rsid w:val="000969AB"/>
    <w:rsid w:val="00096A49"/>
    <w:rsid w:val="00096F0C"/>
    <w:rsid w:val="0009728F"/>
    <w:rsid w:val="00097E45"/>
    <w:rsid w:val="000A17A7"/>
    <w:rsid w:val="000A3D24"/>
    <w:rsid w:val="000A3F47"/>
    <w:rsid w:val="000A432B"/>
    <w:rsid w:val="000A4635"/>
    <w:rsid w:val="000A485A"/>
    <w:rsid w:val="000A4A68"/>
    <w:rsid w:val="000A6D11"/>
    <w:rsid w:val="000A7BE2"/>
    <w:rsid w:val="000B055D"/>
    <w:rsid w:val="000B1B7F"/>
    <w:rsid w:val="000B2661"/>
    <w:rsid w:val="000B5639"/>
    <w:rsid w:val="000B56B2"/>
    <w:rsid w:val="000B703C"/>
    <w:rsid w:val="000B735A"/>
    <w:rsid w:val="000B756F"/>
    <w:rsid w:val="000B76EC"/>
    <w:rsid w:val="000B787D"/>
    <w:rsid w:val="000C0696"/>
    <w:rsid w:val="000C0717"/>
    <w:rsid w:val="000C1215"/>
    <w:rsid w:val="000C1588"/>
    <w:rsid w:val="000C1E3A"/>
    <w:rsid w:val="000C2710"/>
    <w:rsid w:val="000C2729"/>
    <w:rsid w:val="000C2C0D"/>
    <w:rsid w:val="000C41B2"/>
    <w:rsid w:val="000C4672"/>
    <w:rsid w:val="000C4ADD"/>
    <w:rsid w:val="000C4BF3"/>
    <w:rsid w:val="000C5080"/>
    <w:rsid w:val="000C51B4"/>
    <w:rsid w:val="000C5374"/>
    <w:rsid w:val="000C62B3"/>
    <w:rsid w:val="000C65F7"/>
    <w:rsid w:val="000C6D72"/>
    <w:rsid w:val="000C6E2E"/>
    <w:rsid w:val="000C7BFB"/>
    <w:rsid w:val="000D025F"/>
    <w:rsid w:val="000D0558"/>
    <w:rsid w:val="000D0A27"/>
    <w:rsid w:val="000D12DD"/>
    <w:rsid w:val="000D159C"/>
    <w:rsid w:val="000D1A42"/>
    <w:rsid w:val="000D259A"/>
    <w:rsid w:val="000D3BF5"/>
    <w:rsid w:val="000D410B"/>
    <w:rsid w:val="000D459F"/>
    <w:rsid w:val="000D60DC"/>
    <w:rsid w:val="000D7048"/>
    <w:rsid w:val="000E0CEC"/>
    <w:rsid w:val="000E2282"/>
    <w:rsid w:val="000E2B19"/>
    <w:rsid w:val="000E2E05"/>
    <w:rsid w:val="000E36C3"/>
    <w:rsid w:val="000E52AD"/>
    <w:rsid w:val="000E65B9"/>
    <w:rsid w:val="000E7A31"/>
    <w:rsid w:val="000F046B"/>
    <w:rsid w:val="000F08B9"/>
    <w:rsid w:val="000F1F9E"/>
    <w:rsid w:val="000F226F"/>
    <w:rsid w:val="000F2BB2"/>
    <w:rsid w:val="000F2F34"/>
    <w:rsid w:val="000F3874"/>
    <w:rsid w:val="000F6891"/>
    <w:rsid w:val="000F6985"/>
    <w:rsid w:val="000F700D"/>
    <w:rsid w:val="000F7031"/>
    <w:rsid w:val="000F7099"/>
    <w:rsid w:val="000F784E"/>
    <w:rsid w:val="00100254"/>
    <w:rsid w:val="00100F71"/>
    <w:rsid w:val="00101072"/>
    <w:rsid w:val="001011CB"/>
    <w:rsid w:val="00101A2E"/>
    <w:rsid w:val="00102258"/>
    <w:rsid w:val="0010266E"/>
    <w:rsid w:val="0010321F"/>
    <w:rsid w:val="001037A7"/>
    <w:rsid w:val="00104665"/>
    <w:rsid w:val="0010481F"/>
    <w:rsid w:val="0010490B"/>
    <w:rsid w:val="0010518A"/>
    <w:rsid w:val="001051C6"/>
    <w:rsid w:val="00105FC8"/>
    <w:rsid w:val="00106360"/>
    <w:rsid w:val="001068AC"/>
    <w:rsid w:val="00107587"/>
    <w:rsid w:val="00107928"/>
    <w:rsid w:val="00107DB4"/>
    <w:rsid w:val="001102EE"/>
    <w:rsid w:val="0011102F"/>
    <w:rsid w:val="00111447"/>
    <w:rsid w:val="001115F8"/>
    <w:rsid w:val="00111844"/>
    <w:rsid w:val="00112127"/>
    <w:rsid w:val="00112817"/>
    <w:rsid w:val="00112DD3"/>
    <w:rsid w:val="00113360"/>
    <w:rsid w:val="00113595"/>
    <w:rsid w:val="001136CB"/>
    <w:rsid w:val="001136F4"/>
    <w:rsid w:val="001146DA"/>
    <w:rsid w:val="00114BDF"/>
    <w:rsid w:val="00115FB1"/>
    <w:rsid w:val="001161F9"/>
    <w:rsid w:val="00116C29"/>
    <w:rsid w:val="00117830"/>
    <w:rsid w:val="00120717"/>
    <w:rsid w:val="00120BFC"/>
    <w:rsid w:val="00121D81"/>
    <w:rsid w:val="0012244B"/>
    <w:rsid w:val="0012273E"/>
    <w:rsid w:val="001227B2"/>
    <w:rsid w:val="00122A86"/>
    <w:rsid w:val="00123565"/>
    <w:rsid w:val="00124035"/>
    <w:rsid w:val="0012424F"/>
    <w:rsid w:val="00124BBA"/>
    <w:rsid w:val="00124BC7"/>
    <w:rsid w:val="00124DA4"/>
    <w:rsid w:val="00125CFE"/>
    <w:rsid w:val="00126FDA"/>
    <w:rsid w:val="001279A1"/>
    <w:rsid w:val="00127DA0"/>
    <w:rsid w:val="0013028A"/>
    <w:rsid w:val="001304BB"/>
    <w:rsid w:val="00130E5A"/>
    <w:rsid w:val="001310E6"/>
    <w:rsid w:val="0013111C"/>
    <w:rsid w:val="001314E7"/>
    <w:rsid w:val="00131F4A"/>
    <w:rsid w:val="001322E8"/>
    <w:rsid w:val="0013259A"/>
    <w:rsid w:val="00132A5B"/>
    <w:rsid w:val="00132A6D"/>
    <w:rsid w:val="00132C04"/>
    <w:rsid w:val="001339B5"/>
    <w:rsid w:val="001350B9"/>
    <w:rsid w:val="0013536A"/>
    <w:rsid w:val="001353DF"/>
    <w:rsid w:val="001369A0"/>
    <w:rsid w:val="00136AE0"/>
    <w:rsid w:val="001370C7"/>
    <w:rsid w:val="00137EDB"/>
    <w:rsid w:val="0014139A"/>
    <w:rsid w:val="0014259A"/>
    <w:rsid w:val="00142E48"/>
    <w:rsid w:val="00142E6B"/>
    <w:rsid w:val="001437B7"/>
    <w:rsid w:val="00143995"/>
    <w:rsid w:val="00143F36"/>
    <w:rsid w:val="001444C4"/>
    <w:rsid w:val="00144551"/>
    <w:rsid w:val="00144AFB"/>
    <w:rsid w:val="00145583"/>
    <w:rsid w:val="00145C30"/>
    <w:rsid w:val="00145FB0"/>
    <w:rsid w:val="00146014"/>
    <w:rsid w:val="0014608B"/>
    <w:rsid w:val="001466E7"/>
    <w:rsid w:val="00146ACF"/>
    <w:rsid w:val="0014748C"/>
    <w:rsid w:val="00147ADE"/>
    <w:rsid w:val="001500ED"/>
    <w:rsid w:val="00150541"/>
    <w:rsid w:val="00150965"/>
    <w:rsid w:val="00151A14"/>
    <w:rsid w:val="001526F8"/>
    <w:rsid w:val="00152DCF"/>
    <w:rsid w:val="00153205"/>
    <w:rsid w:val="00153838"/>
    <w:rsid w:val="001538CB"/>
    <w:rsid w:val="00154C9A"/>
    <w:rsid w:val="00154DC1"/>
    <w:rsid w:val="00155F24"/>
    <w:rsid w:val="00156831"/>
    <w:rsid w:val="001579E6"/>
    <w:rsid w:val="001604A5"/>
    <w:rsid w:val="0016071C"/>
    <w:rsid w:val="001617A5"/>
    <w:rsid w:val="00161F56"/>
    <w:rsid w:val="00162C05"/>
    <w:rsid w:val="001639CD"/>
    <w:rsid w:val="00163A43"/>
    <w:rsid w:val="00163CA1"/>
    <w:rsid w:val="00163F4E"/>
    <w:rsid w:val="00164FB2"/>
    <w:rsid w:val="00164FF4"/>
    <w:rsid w:val="001654D1"/>
    <w:rsid w:val="00165742"/>
    <w:rsid w:val="00165BA1"/>
    <w:rsid w:val="00166494"/>
    <w:rsid w:val="001673AD"/>
    <w:rsid w:val="00167A27"/>
    <w:rsid w:val="00167B27"/>
    <w:rsid w:val="001700EC"/>
    <w:rsid w:val="00170E40"/>
    <w:rsid w:val="0017325E"/>
    <w:rsid w:val="001736CE"/>
    <w:rsid w:val="00175138"/>
    <w:rsid w:val="00175864"/>
    <w:rsid w:val="0017589F"/>
    <w:rsid w:val="001758A6"/>
    <w:rsid w:val="00176116"/>
    <w:rsid w:val="00177800"/>
    <w:rsid w:val="00177CE1"/>
    <w:rsid w:val="00180078"/>
    <w:rsid w:val="00180340"/>
    <w:rsid w:val="001804B6"/>
    <w:rsid w:val="001805CA"/>
    <w:rsid w:val="00180AC3"/>
    <w:rsid w:val="001811D4"/>
    <w:rsid w:val="00182B11"/>
    <w:rsid w:val="00182D36"/>
    <w:rsid w:val="001836B9"/>
    <w:rsid w:val="00184FFD"/>
    <w:rsid w:val="00185305"/>
    <w:rsid w:val="00185C93"/>
    <w:rsid w:val="001863EB"/>
    <w:rsid w:val="00186F86"/>
    <w:rsid w:val="001877E8"/>
    <w:rsid w:val="00187A75"/>
    <w:rsid w:val="0019014A"/>
    <w:rsid w:val="00190C43"/>
    <w:rsid w:val="001910EA"/>
    <w:rsid w:val="00192E8F"/>
    <w:rsid w:val="001930E4"/>
    <w:rsid w:val="001935CC"/>
    <w:rsid w:val="001937D2"/>
    <w:rsid w:val="00193B94"/>
    <w:rsid w:val="00193DBC"/>
    <w:rsid w:val="00194D98"/>
    <w:rsid w:val="00194D9D"/>
    <w:rsid w:val="00194FCE"/>
    <w:rsid w:val="00195999"/>
    <w:rsid w:val="001959A0"/>
    <w:rsid w:val="00195ABF"/>
    <w:rsid w:val="001962F8"/>
    <w:rsid w:val="00196A0C"/>
    <w:rsid w:val="0019751F"/>
    <w:rsid w:val="00197657"/>
    <w:rsid w:val="001978B0"/>
    <w:rsid w:val="00197F27"/>
    <w:rsid w:val="001A1515"/>
    <w:rsid w:val="001A2B26"/>
    <w:rsid w:val="001A2DBA"/>
    <w:rsid w:val="001A489D"/>
    <w:rsid w:val="001A4AF4"/>
    <w:rsid w:val="001A4B8C"/>
    <w:rsid w:val="001A51F3"/>
    <w:rsid w:val="001A5367"/>
    <w:rsid w:val="001A55D9"/>
    <w:rsid w:val="001A575D"/>
    <w:rsid w:val="001A5BAC"/>
    <w:rsid w:val="001A65AD"/>
    <w:rsid w:val="001A6CA1"/>
    <w:rsid w:val="001A6DDA"/>
    <w:rsid w:val="001A7C99"/>
    <w:rsid w:val="001A7E93"/>
    <w:rsid w:val="001A7F97"/>
    <w:rsid w:val="001B076A"/>
    <w:rsid w:val="001B0BD9"/>
    <w:rsid w:val="001B0E5F"/>
    <w:rsid w:val="001B1A1D"/>
    <w:rsid w:val="001B1DCC"/>
    <w:rsid w:val="001B274E"/>
    <w:rsid w:val="001B3E97"/>
    <w:rsid w:val="001B3FC6"/>
    <w:rsid w:val="001B4230"/>
    <w:rsid w:val="001B4BE2"/>
    <w:rsid w:val="001B4ECF"/>
    <w:rsid w:val="001B5088"/>
    <w:rsid w:val="001B54A2"/>
    <w:rsid w:val="001B5C04"/>
    <w:rsid w:val="001B66C6"/>
    <w:rsid w:val="001B6857"/>
    <w:rsid w:val="001B6D77"/>
    <w:rsid w:val="001B7070"/>
    <w:rsid w:val="001B7226"/>
    <w:rsid w:val="001B7CD6"/>
    <w:rsid w:val="001B7FF5"/>
    <w:rsid w:val="001C1F70"/>
    <w:rsid w:val="001C312F"/>
    <w:rsid w:val="001C3FBD"/>
    <w:rsid w:val="001C46B3"/>
    <w:rsid w:val="001C49D0"/>
    <w:rsid w:val="001C54EC"/>
    <w:rsid w:val="001C560E"/>
    <w:rsid w:val="001C6D48"/>
    <w:rsid w:val="001C706D"/>
    <w:rsid w:val="001C71CB"/>
    <w:rsid w:val="001C728D"/>
    <w:rsid w:val="001C761A"/>
    <w:rsid w:val="001C7D1D"/>
    <w:rsid w:val="001C7F63"/>
    <w:rsid w:val="001D059A"/>
    <w:rsid w:val="001D1864"/>
    <w:rsid w:val="001D20F4"/>
    <w:rsid w:val="001D27EF"/>
    <w:rsid w:val="001D3469"/>
    <w:rsid w:val="001D382A"/>
    <w:rsid w:val="001D3959"/>
    <w:rsid w:val="001D4ED3"/>
    <w:rsid w:val="001D5284"/>
    <w:rsid w:val="001D57C2"/>
    <w:rsid w:val="001D59BF"/>
    <w:rsid w:val="001D60E4"/>
    <w:rsid w:val="001D6113"/>
    <w:rsid w:val="001D6404"/>
    <w:rsid w:val="001D6745"/>
    <w:rsid w:val="001D74F1"/>
    <w:rsid w:val="001E1E43"/>
    <w:rsid w:val="001E2253"/>
    <w:rsid w:val="001E2765"/>
    <w:rsid w:val="001E2A21"/>
    <w:rsid w:val="001E2EA7"/>
    <w:rsid w:val="001E306A"/>
    <w:rsid w:val="001E3424"/>
    <w:rsid w:val="001E3D79"/>
    <w:rsid w:val="001E43D7"/>
    <w:rsid w:val="001E4682"/>
    <w:rsid w:val="001E489F"/>
    <w:rsid w:val="001E56C4"/>
    <w:rsid w:val="001E714F"/>
    <w:rsid w:val="001E769F"/>
    <w:rsid w:val="001E76A7"/>
    <w:rsid w:val="001F12DE"/>
    <w:rsid w:val="001F146C"/>
    <w:rsid w:val="001F3907"/>
    <w:rsid w:val="001F3D92"/>
    <w:rsid w:val="001F4628"/>
    <w:rsid w:val="001F4D4A"/>
    <w:rsid w:val="001F609D"/>
    <w:rsid w:val="001F64ED"/>
    <w:rsid w:val="001F6566"/>
    <w:rsid w:val="001F65FA"/>
    <w:rsid w:val="001F6E72"/>
    <w:rsid w:val="001F6F83"/>
    <w:rsid w:val="001F712F"/>
    <w:rsid w:val="001F7356"/>
    <w:rsid w:val="00200604"/>
    <w:rsid w:val="00200720"/>
    <w:rsid w:val="00200968"/>
    <w:rsid w:val="0020221C"/>
    <w:rsid w:val="00202437"/>
    <w:rsid w:val="00203158"/>
    <w:rsid w:val="00203B03"/>
    <w:rsid w:val="00205E35"/>
    <w:rsid w:val="00206007"/>
    <w:rsid w:val="002066C4"/>
    <w:rsid w:val="00206F3B"/>
    <w:rsid w:val="00207764"/>
    <w:rsid w:val="00210AFB"/>
    <w:rsid w:val="00210DBC"/>
    <w:rsid w:val="0021111E"/>
    <w:rsid w:val="0021125A"/>
    <w:rsid w:val="00211470"/>
    <w:rsid w:val="00211976"/>
    <w:rsid w:val="00212214"/>
    <w:rsid w:val="00212496"/>
    <w:rsid w:val="00212DA8"/>
    <w:rsid w:val="00212FBB"/>
    <w:rsid w:val="00213123"/>
    <w:rsid w:val="0021316D"/>
    <w:rsid w:val="00213327"/>
    <w:rsid w:val="00213742"/>
    <w:rsid w:val="00213A26"/>
    <w:rsid w:val="00213AB4"/>
    <w:rsid w:val="00214402"/>
    <w:rsid w:val="0021578D"/>
    <w:rsid w:val="00215B41"/>
    <w:rsid w:val="00216532"/>
    <w:rsid w:val="00216B53"/>
    <w:rsid w:val="00217C6E"/>
    <w:rsid w:val="00220D5E"/>
    <w:rsid w:val="002221A1"/>
    <w:rsid w:val="002223B9"/>
    <w:rsid w:val="00222610"/>
    <w:rsid w:val="00222716"/>
    <w:rsid w:val="00222B87"/>
    <w:rsid w:val="002238BA"/>
    <w:rsid w:val="0022492C"/>
    <w:rsid w:val="00224B26"/>
    <w:rsid w:val="0022589A"/>
    <w:rsid w:val="002262C3"/>
    <w:rsid w:val="002279E4"/>
    <w:rsid w:val="00230D73"/>
    <w:rsid w:val="00230E5A"/>
    <w:rsid w:val="00231431"/>
    <w:rsid w:val="0023157A"/>
    <w:rsid w:val="0023193C"/>
    <w:rsid w:val="00231994"/>
    <w:rsid w:val="00231A8D"/>
    <w:rsid w:val="0023364C"/>
    <w:rsid w:val="00233BD8"/>
    <w:rsid w:val="00234FDD"/>
    <w:rsid w:val="00235AA1"/>
    <w:rsid w:val="00236113"/>
    <w:rsid w:val="002362DD"/>
    <w:rsid w:val="0023645B"/>
    <w:rsid w:val="002373AD"/>
    <w:rsid w:val="002374E1"/>
    <w:rsid w:val="0023755F"/>
    <w:rsid w:val="00237B9E"/>
    <w:rsid w:val="00237EA7"/>
    <w:rsid w:val="00240271"/>
    <w:rsid w:val="00241155"/>
    <w:rsid w:val="00241767"/>
    <w:rsid w:val="00241896"/>
    <w:rsid w:val="002420E2"/>
    <w:rsid w:val="00242402"/>
    <w:rsid w:val="002456D2"/>
    <w:rsid w:val="00245AD7"/>
    <w:rsid w:val="002467FA"/>
    <w:rsid w:val="00246B00"/>
    <w:rsid w:val="002472FE"/>
    <w:rsid w:val="00247419"/>
    <w:rsid w:val="00247E31"/>
    <w:rsid w:val="00250A0B"/>
    <w:rsid w:val="00250AC1"/>
    <w:rsid w:val="00250D32"/>
    <w:rsid w:val="00250E99"/>
    <w:rsid w:val="002539D1"/>
    <w:rsid w:val="0025457A"/>
    <w:rsid w:val="00254897"/>
    <w:rsid w:val="00255BA8"/>
    <w:rsid w:val="00255BE2"/>
    <w:rsid w:val="00256124"/>
    <w:rsid w:val="0025659C"/>
    <w:rsid w:val="00257D52"/>
    <w:rsid w:val="002600A1"/>
    <w:rsid w:val="00260653"/>
    <w:rsid w:val="0026071A"/>
    <w:rsid w:val="00260E05"/>
    <w:rsid w:val="00260E6A"/>
    <w:rsid w:val="002615E8"/>
    <w:rsid w:val="00261E45"/>
    <w:rsid w:val="00262546"/>
    <w:rsid w:val="00262F6F"/>
    <w:rsid w:val="00263C7C"/>
    <w:rsid w:val="0026453C"/>
    <w:rsid w:val="0026502C"/>
    <w:rsid w:val="00265379"/>
    <w:rsid w:val="00265981"/>
    <w:rsid w:val="00265A71"/>
    <w:rsid w:val="002666B5"/>
    <w:rsid w:val="00267153"/>
    <w:rsid w:val="002677A6"/>
    <w:rsid w:val="002700A2"/>
    <w:rsid w:val="002703C8"/>
    <w:rsid w:val="002703F1"/>
    <w:rsid w:val="0027105E"/>
    <w:rsid w:val="002719A6"/>
    <w:rsid w:val="00272033"/>
    <w:rsid w:val="002722B0"/>
    <w:rsid w:val="00272474"/>
    <w:rsid w:val="002727A3"/>
    <w:rsid w:val="00274976"/>
    <w:rsid w:val="002749CD"/>
    <w:rsid w:val="00274A2F"/>
    <w:rsid w:val="0027561C"/>
    <w:rsid w:val="002757C7"/>
    <w:rsid w:val="00275DE9"/>
    <w:rsid w:val="00275E0E"/>
    <w:rsid w:val="00276CB6"/>
    <w:rsid w:val="002776E4"/>
    <w:rsid w:val="00277836"/>
    <w:rsid w:val="002809AA"/>
    <w:rsid w:val="002819BD"/>
    <w:rsid w:val="00283269"/>
    <w:rsid w:val="00283423"/>
    <w:rsid w:val="00284745"/>
    <w:rsid w:val="002857EF"/>
    <w:rsid w:val="00285FC0"/>
    <w:rsid w:val="0028770A"/>
    <w:rsid w:val="002879E3"/>
    <w:rsid w:val="0029038A"/>
    <w:rsid w:val="0029099C"/>
    <w:rsid w:val="00290A81"/>
    <w:rsid w:val="00291652"/>
    <w:rsid w:val="00294336"/>
    <w:rsid w:val="002945F4"/>
    <w:rsid w:val="002952E2"/>
    <w:rsid w:val="002953E0"/>
    <w:rsid w:val="002962B6"/>
    <w:rsid w:val="0029640D"/>
    <w:rsid w:val="00296576"/>
    <w:rsid w:val="00296A89"/>
    <w:rsid w:val="002972D7"/>
    <w:rsid w:val="00297A6B"/>
    <w:rsid w:val="002A037F"/>
    <w:rsid w:val="002A0BBC"/>
    <w:rsid w:val="002A21AA"/>
    <w:rsid w:val="002A26B6"/>
    <w:rsid w:val="002A287A"/>
    <w:rsid w:val="002A2AA8"/>
    <w:rsid w:val="002A34FC"/>
    <w:rsid w:val="002A3805"/>
    <w:rsid w:val="002A3A90"/>
    <w:rsid w:val="002A3D92"/>
    <w:rsid w:val="002A470E"/>
    <w:rsid w:val="002A682B"/>
    <w:rsid w:val="002A6C18"/>
    <w:rsid w:val="002A7378"/>
    <w:rsid w:val="002A750E"/>
    <w:rsid w:val="002B06CB"/>
    <w:rsid w:val="002B07CE"/>
    <w:rsid w:val="002B0DE6"/>
    <w:rsid w:val="002B118A"/>
    <w:rsid w:val="002B1232"/>
    <w:rsid w:val="002B15D4"/>
    <w:rsid w:val="002B1975"/>
    <w:rsid w:val="002B20FD"/>
    <w:rsid w:val="002B2300"/>
    <w:rsid w:val="002B231D"/>
    <w:rsid w:val="002B2331"/>
    <w:rsid w:val="002B2DAB"/>
    <w:rsid w:val="002B2F04"/>
    <w:rsid w:val="002B40A4"/>
    <w:rsid w:val="002B4E0C"/>
    <w:rsid w:val="002B5D43"/>
    <w:rsid w:val="002B5EEA"/>
    <w:rsid w:val="002B7A74"/>
    <w:rsid w:val="002C030C"/>
    <w:rsid w:val="002C13A4"/>
    <w:rsid w:val="002C15B5"/>
    <w:rsid w:val="002C15B6"/>
    <w:rsid w:val="002C1881"/>
    <w:rsid w:val="002C18C0"/>
    <w:rsid w:val="002C21CB"/>
    <w:rsid w:val="002C314F"/>
    <w:rsid w:val="002C3350"/>
    <w:rsid w:val="002C3714"/>
    <w:rsid w:val="002C3B4C"/>
    <w:rsid w:val="002C3B5F"/>
    <w:rsid w:val="002C3DC2"/>
    <w:rsid w:val="002C43F9"/>
    <w:rsid w:val="002C4B76"/>
    <w:rsid w:val="002C52BC"/>
    <w:rsid w:val="002C534F"/>
    <w:rsid w:val="002C68EE"/>
    <w:rsid w:val="002C6A09"/>
    <w:rsid w:val="002C6B35"/>
    <w:rsid w:val="002C76C1"/>
    <w:rsid w:val="002C7A28"/>
    <w:rsid w:val="002C7C4E"/>
    <w:rsid w:val="002D0034"/>
    <w:rsid w:val="002D084D"/>
    <w:rsid w:val="002D1170"/>
    <w:rsid w:val="002D1D18"/>
    <w:rsid w:val="002D2518"/>
    <w:rsid w:val="002D30B3"/>
    <w:rsid w:val="002D386D"/>
    <w:rsid w:val="002D38C3"/>
    <w:rsid w:val="002D3EE6"/>
    <w:rsid w:val="002D5395"/>
    <w:rsid w:val="002D5E14"/>
    <w:rsid w:val="002D60AA"/>
    <w:rsid w:val="002D6860"/>
    <w:rsid w:val="002D75DC"/>
    <w:rsid w:val="002D75FD"/>
    <w:rsid w:val="002D7647"/>
    <w:rsid w:val="002D7F3F"/>
    <w:rsid w:val="002E0122"/>
    <w:rsid w:val="002E0702"/>
    <w:rsid w:val="002E1021"/>
    <w:rsid w:val="002E1693"/>
    <w:rsid w:val="002E180B"/>
    <w:rsid w:val="002E197B"/>
    <w:rsid w:val="002E1C9C"/>
    <w:rsid w:val="002E1F28"/>
    <w:rsid w:val="002E2561"/>
    <w:rsid w:val="002E29A7"/>
    <w:rsid w:val="002E30EB"/>
    <w:rsid w:val="002E3112"/>
    <w:rsid w:val="002E3E9C"/>
    <w:rsid w:val="002E4431"/>
    <w:rsid w:val="002E50DB"/>
    <w:rsid w:val="002E5F03"/>
    <w:rsid w:val="002E6EDC"/>
    <w:rsid w:val="002E6FCD"/>
    <w:rsid w:val="002E77FE"/>
    <w:rsid w:val="002F03F6"/>
    <w:rsid w:val="002F1D5D"/>
    <w:rsid w:val="002F21E1"/>
    <w:rsid w:val="002F2495"/>
    <w:rsid w:val="002F2E55"/>
    <w:rsid w:val="002F31AF"/>
    <w:rsid w:val="002F37E3"/>
    <w:rsid w:val="002F3A15"/>
    <w:rsid w:val="002F43B9"/>
    <w:rsid w:val="002F46F9"/>
    <w:rsid w:val="002F4B33"/>
    <w:rsid w:val="002F5057"/>
    <w:rsid w:val="002F561D"/>
    <w:rsid w:val="002F5C31"/>
    <w:rsid w:val="002F636E"/>
    <w:rsid w:val="002F695A"/>
    <w:rsid w:val="002F757E"/>
    <w:rsid w:val="003001D6"/>
    <w:rsid w:val="0030096A"/>
    <w:rsid w:val="00301A3A"/>
    <w:rsid w:val="00302A31"/>
    <w:rsid w:val="003038F6"/>
    <w:rsid w:val="003056F5"/>
    <w:rsid w:val="00306D86"/>
    <w:rsid w:val="003071E8"/>
    <w:rsid w:val="003079BF"/>
    <w:rsid w:val="00311ABB"/>
    <w:rsid w:val="00311C6D"/>
    <w:rsid w:val="0031225B"/>
    <w:rsid w:val="00312656"/>
    <w:rsid w:val="003129AC"/>
    <w:rsid w:val="0031315D"/>
    <w:rsid w:val="0031336A"/>
    <w:rsid w:val="00313B2D"/>
    <w:rsid w:val="00314132"/>
    <w:rsid w:val="0031471E"/>
    <w:rsid w:val="00314A43"/>
    <w:rsid w:val="00315829"/>
    <w:rsid w:val="003159F7"/>
    <w:rsid w:val="00316349"/>
    <w:rsid w:val="0031638C"/>
    <w:rsid w:val="00317EA7"/>
    <w:rsid w:val="00320978"/>
    <w:rsid w:val="00321CB1"/>
    <w:rsid w:val="00322D1D"/>
    <w:rsid w:val="00322DEA"/>
    <w:rsid w:val="0032424C"/>
    <w:rsid w:val="003247D9"/>
    <w:rsid w:val="003248B9"/>
    <w:rsid w:val="0032547A"/>
    <w:rsid w:val="003256A5"/>
    <w:rsid w:val="0032670C"/>
    <w:rsid w:val="00326E17"/>
    <w:rsid w:val="003275F1"/>
    <w:rsid w:val="003304D1"/>
    <w:rsid w:val="00330BFB"/>
    <w:rsid w:val="0033135A"/>
    <w:rsid w:val="003327B7"/>
    <w:rsid w:val="00333801"/>
    <w:rsid w:val="003342B6"/>
    <w:rsid w:val="00334586"/>
    <w:rsid w:val="00334925"/>
    <w:rsid w:val="003356F6"/>
    <w:rsid w:val="00335B4B"/>
    <w:rsid w:val="00335F97"/>
    <w:rsid w:val="00336541"/>
    <w:rsid w:val="00336AA4"/>
    <w:rsid w:val="00336B0B"/>
    <w:rsid w:val="00336B70"/>
    <w:rsid w:val="00336C78"/>
    <w:rsid w:val="003376AC"/>
    <w:rsid w:val="0034016F"/>
    <w:rsid w:val="003401FF"/>
    <w:rsid w:val="0034068B"/>
    <w:rsid w:val="00340711"/>
    <w:rsid w:val="00341005"/>
    <w:rsid w:val="00341B20"/>
    <w:rsid w:val="00342172"/>
    <w:rsid w:val="0034293A"/>
    <w:rsid w:val="00343507"/>
    <w:rsid w:val="003450EB"/>
    <w:rsid w:val="00346055"/>
    <w:rsid w:val="00346180"/>
    <w:rsid w:val="00346531"/>
    <w:rsid w:val="003479D7"/>
    <w:rsid w:val="00350D68"/>
    <w:rsid w:val="0035134A"/>
    <w:rsid w:val="00353022"/>
    <w:rsid w:val="003535DB"/>
    <w:rsid w:val="00353B13"/>
    <w:rsid w:val="00354C1E"/>
    <w:rsid w:val="00355193"/>
    <w:rsid w:val="00355691"/>
    <w:rsid w:val="00356A7F"/>
    <w:rsid w:val="00356A84"/>
    <w:rsid w:val="003575CD"/>
    <w:rsid w:val="003577DF"/>
    <w:rsid w:val="00360169"/>
    <w:rsid w:val="00360E49"/>
    <w:rsid w:val="00361450"/>
    <w:rsid w:val="003615B1"/>
    <w:rsid w:val="00361C39"/>
    <w:rsid w:val="00362713"/>
    <w:rsid w:val="00362C90"/>
    <w:rsid w:val="00363443"/>
    <w:rsid w:val="003641E2"/>
    <w:rsid w:val="00365E6F"/>
    <w:rsid w:val="003661EA"/>
    <w:rsid w:val="003671B4"/>
    <w:rsid w:val="003677E9"/>
    <w:rsid w:val="00367A9A"/>
    <w:rsid w:val="00367B28"/>
    <w:rsid w:val="00367E32"/>
    <w:rsid w:val="00367EE6"/>
    <w:rsid w:val="003702C7"/>
    <w:rsid w:val="003705D1"/>
    <w:rsid w:val="00370A64"/>
    <w:rsid w:val="00370AD6"/>
    <w:rsid w:val="00372105"/>
    <w:rsid w:val="0037270C"/>
    <w:rsid w:val="00373B4C"/>
    <w:rsid w:val="00373EB6"/>
    <w:rsid w:val="0037449E"/>
    <w:rsid w:val="00374EA5"/>
    <w:rsid w:val="003760FF"/>
    <w:rsid w:val="00376473"/>
    <w:rsid w:val="00376B2A"/>
    <w:rsid w:val="00376E2A"/>
    <w:rsid w:val="00376E93"/>
    <w:rsid w:val="003805B1"/>
    <w:rsid w:val="003809BC"/>
    <w:rsid w:val="003809DA"/>
    <w:rsid w:val="0038167B"/>
    <w:rsid w:val="003817C2"/>
    <w:rsid w:val="00381A53"/>
    <w:rsid w:val="003840AF"/>
    <w:rsid w:val="00384FED"/>
    <w:rsid w:val="003854B0"/>
    <w:rsid w:val="00385AEE"/>
    <w:rsid w:val="00385B0A"/>
    <w:rsid w:val="003861B7"/>
    <w:rsid w:val="003863FB"/>
    <w:rsid w:val="003864D7"/>
    <w:rsid w:val="00386593"/>
    <w:rsid w:val="00386A82"/>
    <w:rsid w:val="003876C3"/>
    <w:rsid w:val="00387812"/>
    <w:rsid w:val="00387AAE"/>
    <w:rsid w:val="00387E83"/>
    <w:rsid w:val="003900A2"/>
    <w:rsid w:val="00391533"/>
    <w:rsid w:val="00392400"/>
    <w:rsid w:val="003934CA"/>
    <w:rsid w:val="00393654"/>
    <w:rsid w:val="003938D4"/>
    <w:rsid w:val="00393A58"/>
    <w:rsid w:val="003950EB"/>
    <w:rsid w:val="00395596"/>
    <w:rsid w:val="00395E69"/>
    <w:rsid w:val="003962CE"/>
    <w:rsid w:val="0039681D"/>
    <w:rsid w:val="0039697A"/>
    <w:rsid w:val="003A01E1"/>
    <w:rsid w:val="003A0CA7"/>
    <w:rsid w:val="003A0CC0"/>
    <w:rsid w:val="003A10D2"/>
    <w:rsid w:val="003A1605"/>
    <w:rsid w:val="003A1DE1"/>
    <w:rsid w:val="003A2E78"/>
    <w:rsid w:val="003A414E"/>
    <w:rsid w:val="003A44E5"/>
    <w:rsid w:val="003A4777"/>
    <w:rsid w:val="003A51C5"/>
    <w:rsid w:val="003A5432"/>
    <w:rsid w:val="003A55B1"/>
    <w:rsid w:val="003A685D"/>
    <w:rsid w:val="003A7419"/>
    <w:rsid w:val="003A7875"/>
    <w:rsid w:val="003A7890"/>
    <w:rsid w:val="003A7BD4"/>
    <w:rsid w:val="003A7FD5"/>
    <w:rsid w:val="003B072E"/>
    <w:rsid w:val="003B0ECC"/>
    <w:rsid w:val="003B1A85"/>
    <w:rsid w:val="003B1AC0"/>
    <w:rsid w:val="003B2196"/>
    <w:rsid w:val="003B219B"/>
    <w:rsid w:val="003B2359"/>
    <w:rsid w:val="003B2B84"/>
    <w:rsid w:val="003B2F16"/>
    <w:rsid w:val="003B2FC4"/>
    <w:rsid w:val="003B303B"/>
    <w:rsid w:val="003B3187"/>
    <w:rsid w:val="003B395C"/>
    <w:rsid w:val="003B4252"/>
    <w:rsid w:val="003B50DE"/>
    <w:rsid w:val="003B5A90"/>
    <w:rsid w:val="003B68E1"/>
    <w:rsid w:val="003B6908"/>
    <w:rsid w:val="003B748C"/>
    <w:rsid w:val="003B7619"/>
    <w:rsid w:val="003C17E6"/>
    <w:rsid w:val="003C2145"/>
    <w:rsid w:val="003C298E"/>
    <w:rsid w:val="003C2A1C"/>
    <w:rsid w:val="003C3367"/>
    <w:rsid w:val="003C376B"/>
    <w:rsid w:val="003C4493"/>
    <w:rsid w:val="003C4C80"/>
    <w:rsid w:val="003C51A4"/>
    <w:rsid w:val="003C5937"/>
    <w:rsid w:val="003C60CB"/>
    <w:rsid w:val="003C629E"/>
    <w:rsid w:val="003C6C8D"/>
    <w:rsid w:val="003D0167"/>
    <w:rsid w:val="003D03B8"/>
    <w:rsid w:val="003D03C8"/>
    <w:rsid w:val="003D1D27"/>
    <w:rsid w:val="003D25FD"/>
    <w:rsid w:val="003D2C74"/>
    <w:rsid w:val="003D35FA"/>
    <w:rsid w:val="003D3FAE"/>
    <w:rsid w:val="003D3FD2"/>
    <w:rsid w:val="003D5318"/>
    <w:rsid w:val="003D65BF"/>
    <w:rsid w:val="003D6D62"/>
    <w:rsid w:val="003D7692"/>
    <w:rsid w:val="003D78D4"/>
    <w:rsid w:val="003E0105"/>
    <w:rsid w:val="003E0A6A"/>
    <w:rsid w:val="003E2738"/>
    <w:rsid w:val="003E42F8"/>
    <w:rsid w:val="003E49D9"/>
    <w:rsid w:val="003E4E85"/>
    <w:rsid w:val="003E5041"/>
    <w:rsid w:val="003E5881"/>
    <w:rsid w:val="003E594A"/>
    <w:rsid w:val="003E5C55"/>
    <w:rsid w:val="003E5C89"/>
    <w:rsid w:val="003E61E6"/>
    <w:rsid w:val="003E735E"/>
    <w:rsid w:val="003E7605"/>
    <w:rsid w:val="003F025B"/>
    <w:rsid w:val="003F02DF"/>
    <w:rsid w:val="003F035B"/>
    <w:rsid w:val="003F0E5F"/>
    <w:rsid w:val="003F1AD8"/>
    <w:rsid w:val="003F1F0D"/>
    <w:rsid w:val="003F2E57"/>
    <w:rsid w:val="003F46C3"/>
    <w:rsid w:val="003F4B69"/>
    <w:rsid w:val="003F4C16"/>
    <w:rsid w:val="003F5332"/>
    <w:rsid w:val="003F667B"/>
    <w:rsid w:val="003F6A27"/>
    <w:rsid w:val="003F6D00"/>
    <w:rsid w:val="003F7E1A"/>
    <w:rsid w:val="00400983"/>
    <w:rsid w:val="004009F8"/>
    <w:rsid w:val="00400B35"/>
    <w:rsid w:val="00401CB6"/>
    <w:rsid w:val="0040230A"/>
    <w:rsid w:val="0040258D"/>
    <w:rsid w:val="00402E6D"/>
    <w:rsid w:val="00403A43"/>
    <w:rsid w:val="00403B92"/>
    <w:rsid w:val="00403B9E"/>
    <w:rsid w:val="004042A4"/>
    <w:rsid w:val="004070A4"/>
    <w:rsid w:val="00407A71"/>
    <w:rsid w:val="0041095E"/>
    <w:rsid w:val="00410FDC"/>
    <w:rsid w:val="00411379"/>
    <w:rsid w:val="00412E01"/>
    <w:rsid w:val="004134CF"/>
    <w:rsid w:val="00414161"/>
    <w:rsid w:val="0041419E"/>
    <w:rsid w:val="004147C7"/>
    <w:rsid w:val="00414932"/>
    <w:rsid w:val="004151CB"/>
    <w:rsid w:val="00415520"/>
    <w:rsid w:val="00415E13"/>
    <w:rsid w:val="00415EC6"/>
    <w:rsid w:val="004160D1"/>
    <w:rsid w:val="004172D4"/>
    <w:rsid w:val="00417C70"/>
    <w:rsid w:val="00420D03"/>
    <w:rsid w:val="004211C0"/>
    <w:rsid w:val="004214C4"/>
    <w:rsid w:val="0042224F"/>
    <w:rsid w:val="00423614"/>
    <w:rsid w:val="00423F6E"/>
    <w:rsid w:val="004242B8"/>
    <w:rsid w:val="00424560"/>
    <w:rsid w:val="00424792"/>
    <w:rsid w:val="00424AC6"/>
    <w:rsid w:val="004266B3"/>
    <w:rsid w:val="00426BE7"/>
    <w:rsid w:val="0042709E"/>
    <w:rsid w:val="00427F88"/>
    <w:rsid w:val="004316E8"/>
    <w:rsid w:val="00432E6D"/>
    <w:rsid w:val="00432E80"/>
    <w:rsid w:val="00433AFD"/>
    <w:rsid w:val="004343EA"/>
    <w:rsid w:val="004352E3"/>
    <w:rsid w:val="00435F20"/>
    <w:rsid w:val="00435FFE"/>
    <w:rsid w:val="0043689A"/>
    <w:rsid w:val="00437A4B"/>
    <w:rsid w:val="00440439"/>
    <w:rsid w:val="00440824"/>
    <w:rsid w:val="00440D3C"/>
    <w:rsid w:val="004418B6"/>
    <w:rsid w:val="00441A45"/>
    <w:rsid w:val="004424AA"/>
    <w:rsid w:val="004424F2"/>
    <w:rsid w:val="004440AE"/>
    <w:rsid w:val="004442EE"/>
    <w:rsid w:val="00444701"/>
    <w:rsid w:val="00444F7B"/>
    <w:rsid w:val="00445472"/>
    <w:rsid w:val="00445793"/>
    <w:rsid w:val="00445990"/>
    <w:rsid w:val="0044599C"/>
    <w:rsid w:val="0044642B"/>
    <w:rsid w:val="004469AE"/>
    <w:rsid w:val="004469CA"/>
    <w:rsid w:val="00446C09"/>
    <w:rsid w:val="0044728F"/>
    <w:rsid w:val="004502DB"/>
    <w:rsid w:val="00450541"/>
    <w:rsid w:val="00450A11"/>
    <w:rsid w:val="00450A22"/>
    <w:rsid w:val="00450E03"/>
    <w:rsid w:val="00451040"/>
    <w:rsid w:val="0045117A"/>
    <w:rsid w:val="004522B8"/>
    <w:rsid w:val="00452379"/>
    <w:rsid w:val="00452E08"/>
    <w:rsid w:val="004532B2"/>
    <w:rsid w:val="004549CA"/>
    <w:rsid w:val="004554C8"/>
    <w:rsid w:val="004568FE"/>
    <w:rsid w:val="00456D1A"/>
    <w:rsid w:val="004572F8"/>
    <w:rsid w:val="00460B90"/>
    <w:rsid w:val="0046185D"/>
    <w:rsid w:val="0046268A"/>
    <w:rsid w:val="00462FAD"/>
    <w:rsid w:val="00463147"/>
    <w:rsid w:val="00463F55"/>
    <w:rsid w:val="004648B1"/>
    <w:rsid w:val="00465D52"/>
    <w:rsid w:val="004674C0"/>
    <w:rsid w:val="004678E6"/>
    <w:rsid w:val="00470682"/>
    <w:rsid w:val="00470C0A"/>
    <w:rsid w:val="004711A6"/>
    <w:rsid w:val="00472440"/>
    <w:rsid w:val="004727CB"/>
    <w:rsid w:val="00473E8C"/>
    <w:rsid w:val="00474086"/>
    <w:rsid w:val="004751C4"/>
    <w:rsid w:val="00475B60"/>
    <w:rsid w:val="0047682A"/>
    <w:rsid w:val="00476DDF"/>
    <w:rsid w:val="00477124"/>
    <w:rsid w:val="00477150"/>
    <w:rsid w:val="00477847"/>
    <w:rsid w:val="00477CB1"/>
    <w:rsid w:val="0048035B"/>
    <w:rsid w:val="004806EE"/>
    <w:rsid w:val="00480F8F"/>
    <w:rsid w:val="0048150A"/>
    <w:rsid w:val="004815BF"/>
    <w:rsid w:val="0048263B"/>
    <w:rsid w:val="00482D97"/>
    <w:rsid w:val="0048300E"/>
    <w:rsid w:val="0048600D"/>
    <w:rsid w:val="0048641B"/>
    <w:rsid w:val="004869AE"/>
    <w:rsid w:val="00487D33"/>
    <w:rsid w:val="00491294"/>
    <w:rsid w:val="00493065"/>
    <w:rsid w:val="004931FE"/>
    <w:rsid w:val="0049349E"/>
    <w:rsid w:val="0049464A"/>
    <w:rsid w:val="004949C0"/>
    <w:rsid w:val="00494D1F"/>
    <w:rsid w:val="0049524C"/>
    <w:rsid w:val="004957FF"/>
    <w:rsid w:val="00496909"/>
    <w:rsid w:val="00496A82"/>
    <w:rsid w:val="004A11D3"/>
    <w:rsid w:val="004A17FD"/>
    <w:rsid w:val="004A1CF1"/>
    <w:rsid w:val="004A2798"/>
    <w:rsid w:val="004A353C"/>
    <w:rsid w:val="004A3978"/>
    <w:rsid w:val="004A3CBA"/>
    <w:rsid w:val="004A578D"/>
    <w:rsid w:val="004A657B"/>
    <w:rsid w:val="004A7E09"/>
    <w:rsid w:val="004A7EE6"/>
    <w:rsid w:val="004B04CD"/>
    <w:rsid w:val="004B0588"/>
    <w:rsid w:val="004B0CBC"/>
    <w:rsid w:val="004B1162"/>
    <w:rsid w:val="004B1BEA"/>
    <w:rsid w:val="004B342C"/>
    <w:rsid w:val="004B3AC2"/>
    <w:rsid w:val="004B404E"/>
    <w:rsid w:val="004B5633"/>
    <w:rsid w:val="004B5673"/>
    <w:rsid w:val="004B5B36"/>
    <w:rsid w:val="004B60CD"/>
    <w:rsid w:val="004B62CE"/>
    <w:rsid w:val="004C17A7"/>
    <w:rsid w:val="004C1977"/>
    <w:rsid w:val="004C1A32"/>
    <w:rsid w:val="004C1A40"/>
    <w:rsid w:val="004C1E95"/>
    <w:rsid w:val="004C241A"/>
    <w:rsid w:val="004C3BA9"/>
    <w:rsid w:val="004C3C3C"/>
    <w:rsid w:val="004C409A"/>
    <w:rsid w:val="004C472B"/>
    <w:rsid w:val="004C6033"/>
    <w:rsid w:val="004C640A"/>
    <w:rsid w:val="004C6957"/>
    <w:rsid w:val="004C6D47"/>
    <w:rsid w:val="004C6EA0"/>
    <w:rsid w:val="004C6F43"/>
    <w:rsid w:val="004C7881"/>
    <w:rsid w:val="004D0472"/>
    <w:rsid w:val="004D12D9"/>
    <w:rsid w:val="004D1E5F"/>
    <w:rsid w:val="004D2276"/>
    <w:rsid w:val="004D2541"/>
    <w:rsid w:val="004D2A1A"/>
    <w:rsid w:val="004D3D72"/>
    <w:rsid w:val="004D5493"/>
    <w:rsid w:val="004D5929"/>
    <w:rsid w:val="004D71E6"/>
    <w:rsid w:val="004D7B98"/>
    <w:rsid w:val="004D7BF9"/>
    <w:rsid w:val="004D7E5E"/>
    <w:rsid w:val="004E0C1A"/>
    <w:rsid w:val="004E19CC"/>
    <w:rsid w:val="004E2159"/>
    <w:rsid w:val="004E2A85"/>
    <w:rsid w:val="004E2BFB"/>
    <w:rsid w:val="004E2C56"/>
    <w:rsid w:val="004E3367"/>
    <w:rsid w:val="004E3463"/>
    <w:rsid w:val="004E3908"/>
    <w:rsid w:val="004E3932"/>
    <w:rsid w:val="004E3F4B"/>
    <w:rsid w:val="004E4FA1"/>
    <w:rsid w:val="004E570A"/>
    <w:rsid w:val="004E5FA7"/>
    <w:rsid w:val="004E66CC"/>
    <w:rsid w:val="004F03E3"/>
    <w:rsid w:val="004F1461"/>
    <w:rsid w:val="004F17D3"/>
    <w:rsid w:val="004F1A2B"/>
    <w:rsid w:val="004F2387"/>
    <w:rsid w:val="004F240D"/>
    <w:rsid w:val="004F2B6A"/>
    <w:rsid w:val="004F2BC7"/>
    <w:rsid w:val="004F4531"/>
    <w:rsid w:val="004F51C0"/>
    <w:rsid w:val="004F593B"/>
    <w:rsid w:val="004F5AE2"/>
    <w:rsid w:val="004F7551"/>
    <w:rsid w:val="004F7CC1"/>
    <w:rsid w:val="00500548"/>
    <w:rsid w:val="00500BB9"/>
    <w:rsid w:val="00501397"/>
    <w:rsid w:val="005029D2"/>
    <w:rsid w:val="00503335"/>
    <w:rsid w:val="00503C77"/>
    <w:rsid w:val="00503F81"/>
    <w:rsid w:val="0050414F"/>
    <w:rsid w:val="00504326"/>
    <w:rsid w:val="00504BA2"/>
    <w:rsid w:val="00504FCE"/>
    <w:rsid w:val="00507720"/>
    <w:rsid w:val="00507765"/>
    <w:rsid w:val="005106D9"/>
    <w:rsid w:val="00510783"/>
    <w:rsid w:val="00510BDE"/>
    <w:rsid w:val="00510E8E"/>
    <w:rsid w:val="00511DF4"/>
    <w:rsid w:val="00511FEE"/>
    <w:rsid w:val="0051213D"/>
    <w:rsid w:val="00512736"/>
    <w:rsid w:val="00512A34"/>
    <w:rsid w:val="00512BE3"/>
    <w:rsid w:val="005135DB"/>
    <w:rsid w:val="00513BCA"/>
    <w:rsid w:val="00515405"/>
    <w:rsid w:val="0051670A"/>
    <w:rsid w:val="00516B3A"/>
    <w:rsid w:val="00517279"/>
    <w:rsid w:val="00517A08"/>
    <w:rsid w:val="0052130C"/>
    <w:rsid w:val="005220A1"/>
    <w:rsid w:val="005221C6"/>
    <w:rsid w:val="005222A3"/>
    <w:rsid w:val="00522BB4"/>
    <w:rsid w:val="00523291"/>
    <w:rsid w:val="00524B28"/>
    <w:rsid w:val="00524C70"/>
    <w:rsid w:val="00524F57"/>
    <w:rsid w:val="00524FDC"/>
    <w:rsid w:val="005250CB"/>
    <w:rsid w:val="00525F14"/>
    <w:rsid w:val="00526B4A"/>
    <w:rsid w:val="00530CC4"/>
    <w:rsid w:val="00531884"/>
    <w:rsid w:val="00531B71"/>
    <w:rsid w:val="005333D5"/>
    <w:rsid w:val="005336AC"/>
    <w:rsid w:val="005336E4"/>
    <w:rsid w:val="005337A9"/>
    <w:rsid w:val="00534254"/>
    <w:rsid w:val="00534F81"/>
    <w:rsid w:val="005358CA"/>
    <w:rsid w:val="00535B7C"/>
    <w:rsid w:val="00536668"/>
    <w:rsid w:val="005407A6"/>
    <w:rsid w:val="00541408"/>
    <w:rsid w:val="00544590"/>
    <w:rsid w:val="00544F56"/>
    <w:rsid w:val="005454EB"/>
    <w:rsid w:val="005458CB"/>
    <w:rsid w:val="00547252"/>
    <w:rsid w:val="00547547"/>
    <w:rsid w:val="005525BE"/>
    <w:rsid w:val="005527B1"/>
    <w:rsid w:val="0055296E"/>
    <w:rsid w:val="00553659"/>
    <w:rsid w:val="00554173"/>
    <w:rsid w:val="00554181"/>
    <w:rsid w:val="00554F53"/>
    <w:rsid w:val="00555930"/>
    <w:rsid w:val="005571D0"/>
    <w:rsid w:val="00557F13"/>
    <w:rsid w:val="005603EA"/>
    <w:rsid w:val="005606FE"/>
    <w:rsid w:val="00560A9E"/>
    <w:rsid w:val="00560B7E"/>
    <w:rsid w:val="005624AC"/>
    <w:rsid w:val="005626C5"/>
    <w:rsid w:val="00562760"/>
    <w:rsid w:val="00563A74"/>
    <w:rsid w:val="00564E34"/>
    <w:rsid w:val="00565591"/>
    <w:rsid w:val="00565E2F"/>
    <w:rsid w:val="00566A2B"/>
    <w:rsid w:val="005671E0"/>
    <w:rsid w:val="005678A5"/>
    <w:rsid w:val="00570442"/>
    <w:rsid w:val="00570AB9"/>
    <w:rsid w:val="00570C55"/>
    <w:rsid w:val="005714E6"/>
    <w:rsid w:val="005715FB"/>
    <w:rsid w:val="00572543"/>
    <w:rsid w:val="00572DB8"/>
    <w:rsid w:val="00573E95"/>
    <w:rsid w:val="00574C56"/>
    <w:rsid w:val="00575069"/>
    <w:rsid w:val="005750EE"/>
    <w:rsid w:val="00575599"/>
    <w:rsid w:val="005758BA"/>
    <w:rsid w:val="00576543"/>
    <w:rsid w:val="0057694B"/>
    <w:rsid w:val="005771E6"/>
    <w:rsid w:val="00580A68"/>
    <w:rsid w:val="00581797"/>
    <w:rsid w:val="0058190B"/>
    <w:rsid w:val="00582BEC"/>
    <w:rsid w:val="0058391B"/>
    <w:rsid w:val="00583E4E"/>
    <w:rsid w:val="005844DC"/>
    <w:rsid w:val="005846EB"/>
    <w:rsid w:val="00585034"/>
    <w:rsid w:val="00586B9F"/>
    <w:rsid w:val="00586C82"/>
    <w:rsid w:val="005870EE"/>
    <w:rsid w:val="00587593"/>
    <w:rsid w:val="00587A76"/>
    <w:rsid w:val="005900D8"/>
    <w:rsid w:val="00590154"/>
    <w:rsid w:val="005904EB"/>
    <w:rsid w:val="0059051E"/>
    <w:rsid w:val="0059088D"/>
    <w:rsid w:val="005914EC"/>
    <w:rsid w:val="005918D0"/>
    <w:rsid w:val="005922F7"/>
    <w:rsid w:val="0059245D"/>
    <w:rsid w:val="00593ADC"/>
    <w:rsid w:val="00594CA5"/>
    <w:rsid w:val="00595A5F"/>
    <w:rsid w:val="00595C73"/>
    <w:rsid w:val="00596908"/>
    <w:rsid w:val="0059750F"/>
    <w:rsid w:val="005A08B3"/>
    <w:rsid w:val="005A1253"/>
    <w:rsid w:val="005A16DB"/>
    <w:rsid w:val="005A182A"/>
    <w:rsid w:val="005A22C1"/>
    <w:rsid w:val="005A2E94"/>
    <w:rsid w:val="005A494C"/>
    <w:rsid w:val="005A4B14"/>
    <w:rsid w:val="005A4E0A"/>
    <w:rsid w:val="005A5B09"/>
    <w:rsid w:val="005A73CF"/>
    <w:rsid w:val="005A761D"/>
    <w:rsid w:val="005B0B60"/>
    <w:rsid w:val="005B0BD9"/>
    <w:rsid w:val="005B0F37"/>
    <w:rsid w:val="005B1CE4"/>
    <w:rsid w:val="005B2341"/>
    <w:rsid w:val="005B2477"/>
    <w:rsid w:val="005B2839"/>
    <w:rsid w:val="005B37D5"/>
    <w:rsid w:val="005B38ED"/>
    <w:rsid w:val="005B42F6"/>
    <w:rsid w:val="005B4DC8"/>
    <w:rsid w:val="005B4F13"/>
    <w:rsid w:val="005B5139"/>
    <w:rsid w:val="005B56CC"/>
    <w:rsid w:val="005B591B"/>
    <w:rsid w:val="005C0400"/>
    <w:rsid w:val="005C0AE7"/>
    <w:rsid w:val="005C14E3"/>
    <w:rsid w:val="005C29AB"/>
    <w:rsid w:val="005C2A7E"/>
    <w:rsid w:val="005C2D5D"/>
    <w:rsid w:val="005C2EDC"/>
    <w:rsid w:val="005C2EF3"/>
    <w:rsid w:val="005C301F"/>
    <w:rsid w:val="005C3419"/>
    <w:rsid w:val="005C34D4"/>
    <w:rsid w:val="005C3E95"/>
    <w:rsid w:val="005C48C9"/>
    <w:rsid w:val="005C4FA5"/>
    <w:rsid w:val="005C5161"/>
    <w:rsid w:val="005C52C9"/>
    <w:rsid w:val="005C664F"/>
    <w:rsid w:val="005C6676"/>
    <w:rsid w:val="005C6F2C"/>
    <w:rsid w:val="005C73A7"/>
    <w:rsid w:val="005C78A1"/>
    <w:rsid w:val="005C79C1"/>
    <w:rsid w:val="005C7C68"/>
    <w:rsid w:val="005D03E1"/>
    <w:rsid w:val="005D06BD"/>
    <w:rsid w:val="005D0AFB"/>
    <w:rsid w:val="005D154F"/>
    <w:rsid w:val="005D211B"/>
    <w:rsid w:val="005D3355"/>
    <w:rsid w:val="005D38DE"/>
    <w:rsid w:val="005D3F19"/>
    <w:rsid w:val="005D4B72"/>
    <w:rsid w:val="005D4EDA"/>
    <w:rsid w:val="005D6A0A"/>
    <w:rsid w:val="005D7667"/>
    <w:rsid w:val="005E01AA"/>
    <w:rsid w:val="005E1644"/>
    <w:rsid w:val="005E16E4"/>
    <w:rsid w:val="005E1D26"/>
    <w:rsid w:val="005E3405"/>
    <w:rsid w:val="005E357B"/>
    <w:rsid w:val="005E4109"/>
    <w:rsid w:val="005E4711"/>
    <w:rsid w:val="005E4DEA"/>
    <w:rsid w:val="005E5149"/>
    <w:rsid w:val="005E675E"/>
    <w:rsid w:val="005E69D5"/>
    <w:rsid w:val="005E6C32"/>
    <w:rsid w:val="005E6F7B"/>
    <w:rsid w:val="005E7893"/>
    <w:rsid w:val="005F1259"/>
    <w:rsid w:val="005F1D80"/>
    <w:rsid w:val="005F29A8"/>
    <w:rsid w:val="005F2A1D"/>
    <w:rsid w:val="005F2DF2"/>
    <w:rsid w:val="005F3219"/>
    <w:rsid w:val="005F5876"/>
    <w:rsid w:val="005F5DF8"/>
    <w:rsid w:val="005F5E9F"/>
    <w:rsid w:val="005F5F1C"/>
    <w:rsid w:val="005F712C"/>
    <w:rsid w:val="005F737F"/>
    <w:rsid w:val="005F76FE"/>
    <w:rsid w:val="00600909"/>
    <w:rsid w:val="00600B45"/>
    <w:rsid w:val="0060163A"/>
    <w:rsid w:val="00601BB8"/>
    <w:rsid w:val="00602127"/>
    <w:rsid w:val="006027AD"/>
    <w:rsid w:val="00604A1C"/>
    <w:rsid w:val="00604A64"/>
    <w:rsid w:val="00604A77"/>
    <w:rsid w:val="00604E65"/>
    <w:rsid w:val="00605089"/>
    <w:rsid w:val="0060557C"/>
    <w:rsid w:val="006056F2"/>
    <w:rsid w:val="00605D35"/>
    <w:rsid w:val="00605D69"/>
    <w:rsid w:val="00605DDC"/>
    <w:rsid w:val="006070DD"/>
    <w:rsid w:val="00607A44"/>
    <w:rsid w:val="00607B7B"/>
    <w:rsid w:val="00607F42"/>
    <w:rsid w:val="006103A1"/>
    <w:rsid w:val="006103AC"/>
    <w:rsid w:val="00610A65"/>
    <w:rsid w:val="0061158B"/>
    <w:rsid w:val="0061210A"/>
    <w:rsid w:val="00612701"/>
    <w:rsid w:val="006139DF"/>
    <w:rsid w:val="0061408E"/>
    <w:rsid w:val="00614260"/>
    <w:rsid w:val="00614426"/>
    <w:rsid w:val="00614711"/>
    <w:rsid w:val="00614A4C"/>
    <w:rsid w:val="00615C00"/>
    <w:rsid w:val="00615D47"/>
    <w:rsid w:val="00616AEA"/>
    <w:rsid w:val="00616D8C"/>
    <w:rsid w:val="00617162"/>
    <w:rsid w:val="006177C8"/>
    <w:rsid w:val="00620C14"/>
    <w:rsid w:val="00620DB7"/>
    <w:rsid w:val="00620F89"/>
    <w:rsid w:val="00621C39"/>
    <w:rsid w:val="006225BB"/>
    <w:rsid w:val="0062290C"/>
    <w:rsid w:val="006229D7"/>
    <w:rsid w:val="00622E7D"/>
    <w:rsid w:val="00622EAB"/>
    <w:rsid w:val="0062452D"/>
    <w:rsid w:val="0062459D"/>
    <w:rsid w:val="00624704"/>
    <w:rsid w:val="00624AD9"/>
    <w:rsid w:val="006255EA"/>
    <w:rsid w:val="00625B2A"/>
    <w:rsid w:val="00625BA2"/>
    <w:rsid w:val="00625D1E"/>
    <w:rsid w:val="0062727A"/>
    <w:rsid w:val="006279BC"/>
    <w:rsid w:val="0063051F"/>
    <w:rsid w:val="006320E2"/>
    <w:rsid w:val="00632C23"/>
    <w:rsid w:val="00632DC2"/>
    <w:rsid w:val="006337B7"/>
    <w:rsid w:val="0063393A"/>
    <w:rsid w:val="006347B3"/>
    <w:rsid w:val="006355E8"/>
    <w:rsid w:val="0063563D"/>
    <w:rsid w:val="00635E8A"/>
    <w:rsid w:val="00636250"/>
    <w:rsid w:val="00637112"/>
    <w:rsid w:val="00637267"/>
    <w:rsid w:val="00637763"/>
    <w:rsid w:val="006379A8"/>
    <w:rsid w:val="006406C5"/>
    <w:rsid w:val="00640A2A"/>
    <w:rsid w:val="0064101B"/>
    <w:rsid w:val="006413A7"/>
    <w:rsid w:val="00642476"/>
    <w:rsid w:val="00642664"/>
    <w:rsid w:val="00642A37"/>
    <w:rsid w:val="006432A8"/>
    <w:rsid w:val="006439D0"/>
    <w:rsid w:val="00646053"/>
    <w:rsid w:val="00646EC6"/>
    <w:rsid w:val="0064772C"/>
    <w:rsid w:val="006479BB"/>
    <w:rsid w:val="006505D5"/>
    <w:rsid w:val="00650742"/>
    <w:rsid w:val="00650800"/>
    <w:rsid w:val="006512AA"/>
    <w:rsid w:val="00653707"/>
    <w:rsid w:val="00653D4A"/>
    <w:rsid w:val="00654895"/>
    <w:rsid w:val="00654974"/>
    <w:rsid w:val="00654CA0"/>
    <w:rsid w:val="006551C8"/>
    <w:rsid w:val="00655B2B"/>
    <w:rsid w:val="00655B99"/>
    <w:rsid w:val="006564F0"/>
    <w:rsid w:val="0065773B"/>
    <w:rsid w:val="0065777F"/>
    <w:rsid w:val="006619F2"/>
    <w:rsid w:val="00661BB6"/>
    <w:rsid w:val="006628DB"/>
    <w:rsid w:val="00663106"/>
    <w:rsid w:val="00663AF6"/>
    <w:rsid w:val="00663BC2"/>
    <w:rsid w:val="006645C0"/>
    <w:rsid w:val="00665F18"/>
    <w:rsid w:val="00666078"/>
    <w:rsid w:val="0066761D"/>
    <w:rsid w:val="00670088"/>
    <w:rsid w:val="006703FD"/>
    <w:rsid w:val="00671E7E"/>
    <w:rsid w:val="006720BE"/>
    <w:rsid w:val="0067217C"/>
    <w:rsid w:val="006724DE"/>
    <w:rsid w:val="0067297F"/>
    <w:rsid w:val="00672D5F"/>
    <w:rsid w:val="00672F3F"/>
    <w:rsid w:val="00673B36"/>
    <w:rsid w:val="0067412C"/>
    <w:rsid w:val="006743B7"/>
    <w:rsid w:val="00675229"/>
    <w:rsid w:val="0067636B"/>
    <w:rsid w:val="0067645F"/>
    <w:rsid w:val="006770F0"/>
    <w:rsid w:val="006776A8"/>
    <w:rsid w:val="00677BDF"/>
    <w:rsid w:val="00677E12"/>
    <w:rsid w:val="00677F40"/>
    <w:rsid w:val="006808BC"/>
    <w:rsid w:val="00680A4D"/>
    <w:rsid w:val="00680F86"/>
    <w:rsid w:val="00681631"/>
    <w:rsid w:val="00682834"/>
    <w:rsid w:val="0068372E"/>
    <w:rsid w:val="00683A67"/>
    <w:rsid w:val="0068423A"/>
    <w:rsid w:val="0068440A"/>
    <w:rsid w:val="00684967"/>
    <w:rsid w:val="006849FC"/>
    <w:rsid w:val="00685EC0"/>
    <w:rsid w:val="0068605A"/>
    <w:rsid w:val="0068716E"/>
    <w:rsid w:val="006905E9"/>
    <w:rsid w:val="006907B7"/>
    <w:rsid w:val="00691E2A"/>
    <w:rsid w:val="00692725"/>
    <w:rsid w:val="00693620"/>
    <w:rsid w:val="0069367E"/>
    <w:rsid w:val="006936C4"/>
    <w:rsid w:val="00693F80"/>
    <w:rsid w:val="0069482A"/>
    <w:rsid w:val="00694F55"/>
    <w:rsid w:val="006954CF"/>
    <w:rsid w:val="00695B78"/>
    <w:rsid w:val="00695E82"/>
    <w:rsid w:val="00696C42"/>
    <w:rsid w:val="00697058"/>
    <w:rsid w:val="006978AC"/>
    <w:rsid w:val="00697B23"/>
    <w:rsid w:val="00697C2E"/>
    <w:rsid w:val="006A0436"/>
    <w:rsid w:val="006A0C4C"/>
    <w:rsid w:val="006A0F51"/>
    <w:rsid w:val="006A2724"/>
    <w:rsid w:val="006A3016"/>
    <w:rsid w:val="006A3EA9"/>
    <w:rsid w:val="006A3F16"/>
    <w:rsid w:val="006A457D"/>
    <w:rsid w:val="006A48F2"/>
    <w:rsid w:val="006A60DD"/>
    <w:rsid w:val="006A666F"/>
    <w:rsid w:val="006A6B5C"/>
    <w:rsid w:val="006B0A1F"/>
    <w:rsid w:val="006B0EAC"/>
    <w:rsid w:val="006B1ABE"/>
    <w:rsid w:val="006B2024"/>
    <w:rsid w:val="006B24FB"/>
    <w:rsid w:val="006B2529"/>
    <w:rsid w:val="006B27A6"/>
    <w:rsid w:val="006B2ADC"/>
    <w:rsid w:val="006B3CEA"/>
    <w:rsid w:val="006B3DF5"/>
    <w:rsid w:val="006B451E"/>
    <w:rsid w:val="006B49E6"/>
    <w:rsid w:val="006B5566"/>
    <w:rsid w:val="006B5A90"/>
    <w:rsid w:val="006B6431"/>
    <w:rsid w:val="006B71CC"/>
    <w:rsid w:val="006B76E8"/>
    <w:rsid w:val="006C086E"/>
    <w:rsid w:val="006C19C1"/>
    <w:rsid w:val="006C22CE"/>
    <w:rsid w:val="006C32A2"/>
    <w:rsid w:val="006C3645"/>
    <w:rsid w:val="006C40FC"/>
    <w:rsid w:val="006C4AD5"/>
    <w:rsid w:val="006C4B4C"/>
    <w:rsid w:val="006C4BED"/>
    <w:rsid w:val="006C56D0"/>
    <w:rsid w:val="006C627F"/>
    <w:rsid w:val="006C69CF"/>
    <w:rsid w:val="006C748D"/>
    <w:rsid w:val="006D0E8D"/>
    <w:rsid w:val="006D0F1D"/>
    <w:rsid w:val="006D12A7"/>
    <w:rsid w:val="006D2559"/>
    <w:rsid w:val="006D3DD5"/>
    <w:rsid w:val="006D3E1A"/>
    <w:rsid w:val="006D41DA"/>
    <w:rsid w:val="006D4D6D"/>
    <w:rsid w:val="006D4FAB"/>
    <w:rsid w:val="006D553D"/>
    <w:rsid w:val="006D567D"/>
    <w:rsid w:val="006D580A"/>
    <w:rsid w:val="006D5EF6"/>
    <w:rsid w:val="006D7156"/>
    <w:rsid w:val="006D7882"/>
    <w:rsid w:val="006D7975"/>
    <w:rsid w:val="006D7B67"/>
    <w:rsid w:val="006E0C1F"/>
    <w:rsid w:val="006E1EFA"/>
    <w:rsid w:val="006E2478"/>
    <w:rsid w:val="006E3572"/>
    <w:rsid w:val="006E38F2"/>
    <w:rsid w:val="006E3AC0"/>
    <w:rsid w:val="006E3F2D"/>
    <w:rsid w:val="006E7ACC"/>
    <w:rsid w:val="006F038F"/>
    <w:rsid w:val="006F15B0"/>
    <w:rsid w:val="006F1CBC"/>
    <w:rsid w:val="006F2AC4"/>
    <w:rsid w:val="006F3074"/>
    <w:rsid w:val="006F31E6"/>
    <w:rsid w:val="006F3233"/>
    <w:rsid w:val="006F35CA"/>
    <w:rsid w:val="006F38FC"/>
    <w:rsid w:val="006F4187"/>
    <w:rsid w:val="006F4A59"/>
    <w:rsid w:val="006F4DBD"/>
    <w:rsid w:val="006F5207"/>
    <w:rsid w:val="006F5A20"/>
    <w:rsid w:val="006F6AC9"/>
    <w:rsid w:val="006F74A7"/>
    <w:rsid w:val="006F76F8"/>
    <w:rsid w:val="006F78B8"/>
    <w:rsid w:val="00700864"/>
    <w:rsid w:val="00700F3D"/>
    <w:rsid w:val="00701180"/>
    <w:rsid w:val="007011F6"/>
    <w:rsid w:val="00701967"/>
    <w:rsid w:val="00701E42"/>
    <w:rsid w:val="00702280"/>
    <w:rsid w:val="0070239C"/>
    <w:rsid w:val="00705919"/>
    <w:rsid w:val="00705BE8"/>
    <w:rsid w:val="007073D6"/>
    <w:rsid w:val="0071076B"/>
    <w:rsid w:val="00711353"/>
    <w:rsid w:val="00711485"/>
    <w:rsid w:val="00711B9E"/>
    <w:rsid w:val="007125A3"/>
    <w:rsid w:val="007128A9"/>
    <w:rsid w:val="00712A48"/>
    <w:rsid w:val="007137D8"/>
    <w:rsid w:val="0071751E"/>
    <w:rsid w:val="0071776B"/>
    <w:rsid w:val="0072076D"/>
    <w:rsid w:val="00720B80"/>
    <w:rsid w:val="00721C10"/>
    <w:rsid w:val="00722143"/>
    <w:rsid w:val="007226B8"/>
    <w:rsid w:val="00722834"/>
    <w:rsid w:val="007231B9"/>
    <w:rsid w:val="007231F0"/>
    <w:rsid w:val="0072346F"/>
    <w:rsid w:val="0072383B"/>
    <w:rsid w:val="0072389E"/>
    <w:rsid w:val="007252BF"/>
    <w:rsid w:val="00725925"/>
    <w:rsid w:val="007274D9"/>
    <w:rsid w:val="0072759D"/>
    <w:rsid w:val="00730ECF"/>
    <w:rsid w:val="00731F05"/>
    <w:rsid w:val="00732163"/>
    <w:rsid w:val="007339C9"/>
    <w:rsid w:val="00733A82"/>
    <w:rsid w:val="00733BD2"/>
    <w:rsid w:val="00734455"/>
    <w:rsid w:val="007349D9"/>
    <w:rsid w:val="00735019"/>
    <w:rsid w:val="00735529"/>
    <w:rsid w:val="007363A6"/>
    <w:rsid w:val="0073662B"/>
    <w:rsid w:val="0073682A"/>
    <w:rsid w:val="00736C88"/>
    <w:rsid w:val="0073729A"/>
    <w:rsid w:val="00741A24"/>
    <w:rsid w:val="00741D6B"/>
    <w:rsid w:val="007427F2"/>
    <w:rsid w:val="00743415"/>
    <w:rsid w:val="007434D7"/>
    <w:rsid w:val="007435F3"/>
    <w:rsid w:val="00743E59"/>
    <w:rsid w:val="00743EE9"/>
    <w:rsid w:val="00744AEA"/>
    <w:rsid w:val="00744EA9"/>
    <w:rsid w:val="007450F2"/>
    <w:rsid w:val="007457D7"/>
    <w:rsid w:val="00746B21"/>
    <w:rsid w:val="00746EB7"/>
    <w:rsid w:val="007471FD"/>
    <w:rsid w:val="00747C0C"/>
    <w:rsid w:val="0075029A"/>
    <w:rsid w:val="0075034B"/>
    <w:rsid w:val="007506F3"/>
    <w:rsid w:val="00750C72"/>
    <w:rsid w:val="00750E1F"/>
    <w:rsid w:val="00750E57"/>
    <w:rsid w:val="00750E62"/>
    <w:rsid w:val="0075173D"/>
    <w:rsid w:val="00751B1A"/>
    <w:rsid w:val="00752411"/>
    <w:rsid w:val="00753332"/>
    <w:rsid w:val="007547EC"/>
    <w:rsid w:val="0075560A"/>
    <w:rsid w:val="00757B60"/>
    <w:rsid w:val="00760C60"/>
    <w:rsid w:val="0076128A"/>
    <w:rsid w:val="007615B0"/>
    <w:rsid w:val="007625D0"/>
    <w:rsid w:val="00762A7E"/>
    <w:rsid w:val="00763D3C"/>
    <w:rsid w:val="0076626B"/>
    <w:rsid w:val="007663DA"/>
    <w:rsid w:val="007663FE"/>
    <w:rsid w:val="00767DD9"/>
    <w:rsid w:val="00770285"/>
    <w:rsid w:val="007707FF"/>
    <w:rsid w:val="0077088D"/>
    <w:rsid w:val="007710B6"/>
    <w:rsid w:val="007720E7"/>
    <w:rsid w:val="00772AF4"/>
    <w:rsid w:val="00772CB0"/>
    <w:rsid w:val="00772F4F"/>
    <w:rsid w:val="0077350D"/>
    <w:rsid w:val="007737D7"/>
    <w:rsid w:val="007745D7"/>
    <w:rsid w:val="007748AF"/>
    <w:rsid w:val="00774AEA"/>
    <w:rsid w:val="007761A9"/>
    <w:rsid w:val="00776E5F"/>
    <w:rsid w:val="0077765A"/>
    <w:rsid w:val="007803C9"/>
    <w:rsid w:val="007806ED"/>
    <w:rsid w:val="007814A8"/>
    <w:rsid w:val="00781B78"/>
    <w:rsid w:val="007820ED"/>
    <w:rsid w:val="007830B9"/>
    <w:rsid w:val="00783780"/>
    <w:rsid w:val="00784CD9"/>
    <w:rsid w:val="00785308"/>
    <w:rsid w:val="007858A8"/>
    <w:rsid w:val="00786A18"/>
    <w:rsid w:val="00786CDE"/>
    <w:rsid w:val="00787331"/>
    <w:rsid w:val="00787734"/>
    <w:rsid w:val="00791542"/>
    <w:rsid w:val="00791FD1"/>
    <w:rsid w:val="00792DC0"/>
    <w:rsid w:val="00793207"/>
    <w:rsid w:val="00794301"/>
    <w:rsid w:val="00794B79"/>
    <w:rsid w:val="00794BB5"/>
    <w:rsid w:val="00795EB0"/>
    <w:rsid w:val="007A04B9"/>
    <w:rsid w:val="007A0966"/>
    <w:rsid w:val="007A0E79"/>
    <w:rsid w:val="007A1518"/>
    <w:rsid w:val="007A2408"/>
    <w:rsid w:val="007A24FB"/>
    <w:rsid w:val="007A3379"/>
    <w:rsid w:val="007A3CED"/>
    <w:rsid w:val="007A4047"/>
    <w:rsid w:val="007A4C2F"/>
    <w:rsid w:val="007A4EBF"/>
    <w:rsid w:val="007A55A9"/>
    <w:rsid w:val="007A619A"/>
    <w:rsid w:val="007A6B5A"/>
    <w:rsid w:val="007A6C88"/>
    <w:rsid w:val="007A6F78"/>
    <w:rsid w:val="007A6FE8"/>
    <w:rsid w:val="007A7A7A"/>
    <w:rsid w:val="007B13B5"/>
    <w:rsid w:val="007B1461"/>
    <w:rsid w:val="007B1687"/>
    <w:rsid w:val="007B1968"/>
    <w:rsid w:val="007B1DB5"/>
    <w:rsid w:val="007B2798"/>
    <w:rsid w:val="007B2F39"/>
    <w:rsid w:val="007B364B"/>
    <w:rsid w:val="007B3805"/>
    <w:rsid w:val="007B4557"/>
    <w:rsid w:val="007B463B"/>
    <w:rsid w:val="007B4B76"/>
    <w:rsid w:val="007B4F50"/>
    <w:rsid w:val="007B564A"/>
    <w:rsid w:val="007B6177"/>
    <w:rsid w:val="007B6CB6"/>
    <w:rsid w:val="007B7A2F"/>
    <w:rsid w:val="007B7AB7"/>
    <w:rsid w:val="007B7FDD"/>
    <w:rsid w:val="007C025A"/>
    <w:rsid w:val="007C05C2"/>
    <w:rsid w:val="007C16D1"/>
    <w:rsid w:val="007C2A37"/>
    <w:rsid w:val="007C32C1"/>
    <w:rsid w:val="007C3449"/>
    <w:rsid w:val="007C432B"/>
    <w:rsid w:val="007C593E"/>
    <w:rsid w:val="007C5B6E"/>
    <w:rsid w:val="007C7F9E"/>
    <w:rsid w:val="007D061D"/>
    <w:rsid w:val="007D25DF"/>
    <w:rsid w:val="007D2B58"/>
    <w:rsid w:val="007D3B19"/>
    <w:rsid w:val="007D3E26"/>
    <w:rsid w:val="007D4900"/>
    <w:rsid w:val="007D51CB"/>
    <w:rsid w:val="007D5220"/>
    <w:rsid w:val="007D5441"/>
    <w:rsid w:val="007D56EE"/>
    <w:rsid w:val="007D646B"/>
    <w:rsid w:val="007D6E31"/>
    <w:rsid w:val="007D7847"/>
    <w:rsid w:val="007D7E86"/>
    <w:rsid w:val="007E038F"/>
    <w:rsid w:val="007E0AA8"/>
    <w:rsid w:val="007E1B0E"/>
    <w:rsid w:val="007E1C5F"/>
    <w:rsid w:val="007E2423"/>
    <w:rsid w:val="007E3E34"/>
    <w:rsid w:val="007E4A98"/>
    <w:rsid w:val="007E4C0F"/>
    <w:rsid w:val="007E5928"/>
    <w:rsid w:val="007E5FCF"/>
    <w:rsid w:val="007E75DB"/>
    <w:rsid w:val="007E78E0"/>
    <w:rsid w:val="007F0AE8"/>
    <w:rsid w:val="007F0B2B"/>
    <w:rsid w:val="007F1497"/>
    <w:rsid w:val="007F1E68"/>
    <w:rsid w:val="007F3AA4"/>
    <w:rsid w:val="007F3FEB"/>
    <w:rsid w:val="007F430C"/>
    <w:rsid w:val="007F55B6"/>
    <w:rsid w:val="007F5ADC"/>
    <w:rsid w:val="007F5FE5"/>
    <w:rsid w:val="007F715A"/>
    <w:rsid w:val="007F794E"/>
    <w:rsid w:val="00800488"/>
    <w:rsid w:val="008010EC"/>
    <w:rsid w:val="00801620"/>
    <w:rsid w:val="00801BA1"/>
    <w:rsid w:val="00801E0C"/>
    <w:rsid w:val="00801E19"/>
    <w:rsid w:val="00802002"/>
    <w:rsid w:val="008021C1"/>
    <w:rsid w:val="008030B6"/>
    <w:rsid w:val="008039E5"/>
    <w:rsid w:val="008039E9"/>
    <w:rsid w:val="00803F0F"/>
    <w:rsid w:val="0080422E"/>
    <w:rsid w:val="00804C3C"/>
    <w:rsid w:val="00806A27"/>
    <w:rsid w:val="00806CF5"/>
    <w:rsid w:val="00806D6C"/>
    <w:rsid w:val="008114B1"/>
    <w:rsid w:val="008116E2"/>
    <w:rsid w:val="0081278C"/>
    <w:rsid w:val="00813CDE"/>
    <w:rsid w:val="008145AC"/>
    <w:rsid w:val="00814D1F"/>
    <w:rsid w:val="00814F4D"/>
    <w:rsid w:val="008150DF"/>
    <w:rsid w:val="008152AE"/>
    <w:rsid w:val="0081544C"/>
    <w:rsid w:val="008166C5"/>
    <w:rsid w:val="00816ADC"/>
    <w:rsid w:val="00817105"/>
    <w:rsid w:val="00817619"/>
    <w:rsid w:val="00820A9A"/>
    <w:rsid w:val="00821236"/>
    <w:rsid w:val="00821242"/>
    <w:rsid w:val="00821471"/>
    <w:rsid w:val="0082157C"/>
    <w:rsid w:val="008220B7"/>
    <w:rsid w:val="00822132"/>
    <w:rsid w:val="00823474"/>
    <w:rsid w:val="0082348B"/>
    <w:rsid w:val="00823A04"/>
    <w:rsid w:val="00824067"/>
    <w:rsid w:val="008241A1"/>
    <w:rsid w:val="008244F0"/>
    <w:rsid w:val="008258CF"/>
    <w:rsid w:val="00825D76"/>
    <w:rsid w:val="00826092"/>
    <w:rsid w:val="008268E4"/>
    <w:rsid w:val="00826BB9"/>
    <w:rsid w:val="0082776C"/>
    <w:rsid w:val="008304A1"/>
    <w:rsid w:val="00831D1F"/>
    <w:rsid w:val="0083255C"/>
    <w:rsid w:val="008329D8"/>
    <w:rsid w:val="00833AE2"/>
    <w:rsid w:val="00834A04"/>
    <w:rsid w:val="008357CC"/>
    <w:rsid w:val="008375C2"/>
    <w:rsid w:val="00837A34"/>
    <w:rsid w:val="008401FB"/>
    <w:rsid w:val="0084045D"/>
    <w:rsid w:val="008404FE"/>
    <w:rsid w:val="00840BBF"/>
    <w:rsid w:val="008410BA"/>
    <w:rsid w:val="00842090"/>
    <w:rsid w:val="008428BC"/>
    <w:rsid w:val="00843484"/>
    <w:rsid w:val="00843A47"/>
    <w:rsid w:val="00843A87"/>
    <w:rsid w:val="00843C25"/>
    <w:rsid w:val="00844C5B"/>
    <w:rsid w:val="00844F34"/>
    <w:rsid w:val="008452C3"/>
    <w:rsid w:val="008456BF"/>
    <w:rsid w:val="00845CF3"/>
    <w:rsid w:val="008462D5"/>
    <w:rsid w:val="0084640E"/>
    <w:rsid w:val="00846982"/>
    <w:rsid w:val="00850735"/>
    <w:rsid w:val="0085129F"/>
    <w:rsid w:val="00852C47"/>
    <w:rsid w:val="00852EE5"/>
    <w:rsid w:val="008537BC"/>
    <w:rsid w:val="00853BFE"/>
    <w:rsid w:val="00853DC4"/>
    <w:rsid w:val="00853E04"/>
    <w:rsid w:val="008544FB"/>
    <w:rsid w:val="00854A4F"/>
    <w:rsid w:val="0085632D"/>
    <w:rsid w:val="008574A1"/>
    <w:rsid w:val="008576E2"/>
    <w:rsid w:val="00857EB3"/>
    <w:rsid w:val="008608F8"/>
    <w:rsid w:val="00860A1A"/>
    <w:rsid w:val="00860A90"/>
    <w:rsid w:val="00861022"/>
    <w:rsid w:val="0086130B"/>
    <w:rsid w:val="008618A0"/>
    <w:rsid w:val="00862485"/>
    <w:rsid w:val="008630F3"/>
    <w:rsid w:val="00863401"/>
    <w:rsid w:val="0086388A"/>
    <w:rsid w:val="008643D8"/>
    <w:rsid w:val="00864AE6"/>
    <w:rsid w:val="00865174"/>
    <w:rsid w:val="00865844"/>
    <w:rsid w:val="00865BD5"/>
    <w:rsid w:val="00865D71"/>
    <w:rsid w:val="0086648E"/>
    <w:rsid w:val="00866A39"/>
    <w:rsid w:val="00866EE4"/>
    <w:rsid w:val="00867E62"/>
    <w:rsid w:val="0087069B"/>
    <w:rsid w:val="00870B05"/>
    <w:rsid w:val="00871D4C"/>
    <w:rsid w:val="008729D4"/>
    <w:rsid w:val="00873544"/>
    <w:rsid w:val="00873929"/>
    <w:rsid w:val="00874532"/>
    <w:rsid w:val="00874754"/>
    <w:rsid w:val="00874B1F"/>
    <w:rsid w:val="00874BB4"/>
    <w:rsid w:val="00875079"/>
    <w:rsid w:val="00875759"/>
    <w:rsid w:val="00875B06"/>
    <w:rsid w:val="00876210"/>
    <w:rsid w:val="0087624B"/>
    <w:rsid w:val="00876BC7"/>
    <w:rsid w:val="00883029"/>
    <w:rsid w:val="0088338D"/>
    <w:rsid w:val="008846A9"/>
    <w:rsid w:val="00884B97"/>
    <w:rsid w:val="00884F76"/>
    <w:rsid w:val="00884F93"/>
    <w:rsid w:val="008856B1"/>
    <w:rsid w:val="008857B6"/>
    <w:rsid w:val="00885F8E"/>
    <w:rsid w:val="0088631E"/>
    <w:rsid w:val="00886BB8"/>
    <w:rsid w:val="00886E0B"/>
    <w:rsid w:val="0089000B"/>
    <w:rsid w:val="008903AB"/>
    <w:rsid w:val="008905C9"/>
    <w:rsid w:val="00890E48"/>
    <w:rsid w:val="008916C9"/>
    <w:rsid w:val="00891B04"/>
    <w:rsid w:val="0089256B"/>
    <w:rsid w:val="00893AE5"/>
    <w:rsid w:val="008945D5"/>
    <w:rsid w:val="008948DE"/>
    <w:rsid w:val="00894EA8"/>
    <w:rsid w:val="008957BA"/>
    <w:rsid w:val="00895A46"/>
    <w:rsid w:val="008963DD"/>
    <w:rsid w:val="0089642B"/>
    <w:rsid w:val="00896AC2"/>
    <w:rsid w:val="008974CC"/>
    <w:rsid w:val="00897563"/>
    <w:rsid w:val="008A0570"/>
    <w:rsid w:val="008A06FA"/>
    <w:rsid w:val="008A0CCD"/>
    <w:rsid w:val="008A1E49"/>
    <w:rsid w:val="008A2171"/>
    <w:rsid w:val="008A27F7"/>
    <w:rsid w:val="008A4D86"/>
    <w:rsid w:val="008A7599"/>
    <w:rsid w:val="008A7E89"/>
    <w:rsid w:val="008B03F2"/>
    <w:rsid w:val="008B07C3"/>
    <w:rsid w:val="008B165D"/>
    <w:rsid w:val="008B1C79"/>
    <w:rsid w:val="008B2471"/>
    <w:rsid w:val="008B3420"/>
    <w:rsid w:val="008B34B8"/>
    <w:rsid w:val="008B3FE0"/>
    <w:rsid w:val="008B4037"/>
    <w:rsid w:val="008B503A"/>
    <w:rsid w:val="008B58E8"/>
    <w:rsid w:val="008B599B"/>
    <w:rsid w:val="008B7397"/>
    <w:rsid w:val="008B7415"/>
    <w:rsid w:val="008C1C02"/>
    <w:rsid w:val="008C1F31"/>
    <w:rsid w:val="008C209E"/>
    <w:rsid w:val="008C23F2"/>
    <w:rsid w:val="008C24C4"/>
    <w:rsid w:val="008C260D"/>
    <w:rsid w:val="008C271B"/>
    <w:rsid w:val="008C273A"/>
    <w:rsid w:val="008C3725"/>
    <w:rsid w:val="008C3EB0"/>
    <w:rsid w:val="008C40BC"/>
    <w:rsid w:val="008C5308"/>
    <w:rsid w:val="008C5E68"/>
    <w:rsid w:val="008C64C6"/>
    <w:rsid w:val="008C6557"/>
    <w:rsid w:val="008C656F"/>
    <w:rsid w:val="008C72CB"/>
    <w:rsid w:val="008C7546"/>
    <w:rsid w:val="008D00ED"/>
    <w:rsid w:val="008D0263"/>
    <w:rsid w:val="008D1AB0"/>
    <w:rsid w:val="008D2A0A"/>
    <w:rsid w:val="008D2E8B"/>
    <w:rsid w:val="008D4199"/>
    <w:rsid w:val="008D4230"/>
    <w:rsid w:val="008D4318"/>
    <w:rsid w:val="008D535E"/>
    <w:rsid w:val="008D5BB9"/>
    <w:rsid w:val="008D5CC0"/>
    <w:rsid w:val="008D650E"/>
    <w:rsid w:val="008D657B"/>
    <w:rsid w:val="008D762C"/>
    <w:rsid w:val="008D781F"/>
    <w:rsid w:val="008D7A52"/>
    <w:rsid w:val="008E3602"/>
    <w:rsid w:val="008E3787"/>
    <w:rsid w:val="008E3E10"/>
    <w:rsid w:val="008F07DB"/>
    <w:rsid w:val="008F0D32"/>
    <w:rsid w:val="008F0EFD"/>
    <w:rsid w:val="008F0F20"/>
    <w:rsid w:val="008F1552"/>
    <w:rsid w:val="008F29CD"/>
    <w:rsid w:val="008F2A45"/>
    <w:rsid w:val="008F3CB2"/>
    <w:rsid w:val="008F4A7B"/>
    <w:rsid w:val="008F51D0"/>
    <w:rsid w:val="008F5822"/>
    <w:rsid w:val="008F62C3"/>
    <w:rsid w:val="008F6322"/>
    <w:rsid w:val="008F6340"/>
    <w:rsid w:val="008F7087"/>
    <w:rsid w:val="00900056"/>
    <w:rsid w:val="00900365"/>
    <w:rsid w:val="00902033"/>
    <w:rsid w:val="009030E5"/>
    <w:rsid w:val="00903872"/>
    <w:rsid w:val="009042A8"/>
    <w:rsid w:val="0090641C"/>
    <w:rsid w:val="00907BF9"/>
    <w:rsid w:val="00907E39"/>
    <w:rsid w:val="00910BBA"/>
    <w:rsid w:val="0091145F"/>
    <w:rsid w:val="009123D0"/>
    <w:rsid w:val="00912792"/>
    <w:rsid w:val="00912C80"/>
    <w:rsid w:val="00912C84"/>
    <w:rsid w:val="009131FB"/>
    <w:rsid w:val="009138E7"/>
    <w:rsid w:val="00913F90"/>
    <w:rsid w:val="00914115"/>
    <w:rsid w:val="0091487D"/>
    <w:rsid w:val="00917813"/>
    <w:rsid w:val="00917882"/>
    <w:rsid w:val="00917A6C"/>
    <w:rsid w:val="00920051"/>
    <w:rsid w:val="009206C4"/>
    <w:rsid w:val="00920A9D"/>
    <w:rsid w:val="00920EE1"/>
    <w:rsid w:val="009212B2"/>
    <w:rsid w:val="009218EF"/>
    <w:rsid w:val="00921B6F"/>
    <w:rsid w:val="00922210"/>
    <w:rsid w:val="00922C6A"/>
    <w:rsid w:val="00922FA1"/>
    <w:rsid w:val="0092325A"/>
    <w:rsid w:val="00923C04"/>
    <w:rsid w:val="00923EC8"/>
    <w:rsid w:val="0092407C"/>
    <w:rsid w:val="009244AA"/>
    <w:rsid w:val="009246F7"/>
    <w:rsid w:val="00924733"/>
    <w:rsid w:val="009259F6"/>
    <w:rsid w:val="00925DA2"/>
    <w:rsid w:val="00925DD2"/>
    <w:rsid w:val="00925FCC"/>
    <w:rsid w:val="009260A6"/>
    <w:rsid w:val="009267B6"/>
    <w:rsid w:val="00926D0C"/>
    <w:rsid w:val="00926DFB"/>
    <w:rsid w:val="00930564"/>
    <w:rsid w:val="009319E0"/>
    <w:rsid w:val="00931D6A"/>
    <w:rsid w:val="00932047"/>
    <w:rsid w:val="00932BBB"/>
    <w:rsid w:val="00932D6A"/>
    <w:rsid w:val="009330E7"/>
    <w:rsid w:val="0093342F"/>
    <w:rsid w:val="0093380E"/>
    <w:rsid w:val="009338BD"/>
    <w:rsid w:val="0093572C"/>
    <w:rsid w:val="00935BC0"/>
    <w:rsid w:val="0093607A"/>
    <w:rsid w:val="0093731C"/>
    <w:rsid w:val="0093778D"/>
    <w:rsid w:val="00940A70"/>
    <w:rsid w:val="00941844"/>
    <w:rsid w:val="009418DF"/>
    <w:rsid w:val="00941E26"/>
    <w:rsid w:val="00941FDA"/>
    <w:rsid w:val="00942052"/>
    <w:rsid w:val="00942B77"/>
    <w:rsid w:val="00944B43"/>
    <w:rsid w:val="0094517F"/>
    <w:rsid w:val="00946DC2"/>
    <w:rsid w:val="00947086"/>
    <w:rsid w:val="009509B5"/>
    <w:rsid w:val="00950A33"/>
    <w:rsid w:val="00950BA0"/>
    <w:rsid w:val="00950DA2"/>
    <w:rsid w:val="009511F3"/>
    <w:rsid w:val="00951370"/>
    <w:rsid w:val="009517AE"/>
    <w:rsid w:val="009519A4"/>
    <w:rsid w:val="00951AF6"/>
    <w:rsid w:val="009530C7"/>
    <w:rsid w:val="0095314B"/>
    <w:rsid w:val="009531A4"/>
    <w:rsid w:val="0095328A"/>
    <w:rsid w:val="0095386E"/>
    <w:rsid w:val="00953938"/>
    <w:rsid w:val="00953D67"/>
    <w:rsid w:val="009540C9"/>
    <w:rsid w:val="0095417A"/>
    <w:rsid w:val="00954AD2"/>
    <w:rsid w:val="00954C59"/>
    <w:rsid w:val="00955F04"/>
    <w:rsid w:val="00955F33"/>
    <w:rsid w:val="0095669F"/>
    <w:rsid w:val="009567EA"/>
    <w:rsid w:val="00956A8C"/>
    <w:rsid w:val="00956DAF"/>
    <w:rsid w:val="009579C2"/>
    <w:rsid w:val="00960277"/>
    <w:rsid w:val="00960FCA"/>
    <w:rsid w:val="00961CD5"/>
    <w:rsid w:val="0096337D"/>
    <w:rsid w:val="009637A2"/>
    <w:rsid w:val="00964512"/>
    <w:rsid w:val="00964824"/>
    <w:rsid w:val="00964D96"/>
    <w:rsid w:val="00965CF6"/>
    <w:rsid w:val="00966171"/>
    <w:rsid w:val="009675ED"/>
    <w:rsid w:val="00967B78"/>
    <w:rsid w:val="00967BAB"/>
    <w:rsid w:val="00967E16"/>
    <w:rsid w:val="009705F8"/>
    <w:rsid w:val="00970710"/>
    <w:rsid w:val="00970764"/>
    <w:rsid w:val="00970863"/>
    <w:rsid w:val="00970934"/>
    <w:rsid w:val="00970DCE"/>
    <w:rsid w:val="009713C0"/>
    <w:rsid w:val="009714FD"/>
    <w:rsid w:val="0097177C"/>
    <w:rsid w:val="00971E45"/>
    <w:rsid w:val="00972800"/>
    <w:rsid w:val="0097351C"/>
    <w:rsid w:val="009738F0"/>
    <w:rsid w:val="00973EAD"/>
    <w:rsid w:val="00975340"/>
    <w:rsid w:val="0097577D"/>
    <w:rsid w:val="00975A1B"/>
    <w:rsid w:val="00976EB8"/>
    <w:rsid w:val="009804D0"/>
    <w:rsid w:val="00982CD5"/>
    <w:rsid w:val="00983304"/>
    <w:rsid w:val="00983A8C"/>
    <w:rsid w:val="0098505A"/>
    <w:rsid w:val="0098650D"/>
    <w:rsid w:val="009867FC"/>
    <w:rsid w:val="0098764F"/>
    <w:rsid w:val="009879D1"/>
    <w:rsid w:val="00990A08"/>
    <w:rsid w:val="00990C44"/>
    <w:rsid w:val="00990FE9"/>
    <w:rsid w:val="009917DF"/>
    <w:rsid w:val="00991AB6"/>
    <w:rsid w:val="0099219F"/>
    <w:rsid w:val="009921B1"/>
    <w:rsid w:val="0099285F"/>
    <w:rsid w:val="00992BD2"/>
    <w:rsid w:val="00993BAD"/>
    <w:rsid w:val="00994E84"/>
    <w:rsid w:val="00995034"/>
    <w:rsid w:val="00996BDC"/>
    <w:rsid w:val="009A050D"/>
    <w:rsid w:val="009A0B71"/>
    <w:rsid w:val="009A1859"/>
    <w:rsid w:val="009A2A0D"/>
    <w:rsid w:val="009A3DC4"/>
    <w:rsid w:val="009A3EAD"/>
    <w:rsid w:val="009A40A2"/>
    <w:rsid w:val="009A53C6"/>
    <w:rsid w:val="009A68EC"/>
    <w:rsid w:val="009A7593"/>
    <w:rsid w:val="009A76B1"/>
    <w:rsid w:val="009B07F7"/>
    <w:rsid w:val="009B1304"/>
    <w:rsid w:val="009B1498"/>
    <w:rsid w:val="009B3099"/>
    <w:rsid w:val="009B34E7"/>
    <w:rsid w:val="009B456C"/>
    <w:rsid w:val="009B569E"/>
    <w:rsid w:val="009B60CE"/>
    <w:rsid w:val="009B69CE"/>
    <w:rsid w:val="009B7BC2"/>
    <w:rsid w:val="009B7C90"/>
    <w:rsid w:val="009C0169"/>
    <w:rsid w:val="009C06CD"/>
    <w:rsid w:val="009C09D7"/>
    <w:rsid w:val="009C2906"/>
    <w:rsid w:val="009C2992"/>
    <w:rsid w:val="009C2AF7"/>
    <w:rsid w:val="009C2E31"/>
    <w:rsid w:val="009C31AC"/>
    <w:rsid w:val="009C3EFF"/>
    <w:rsid w:val="009C47E5"/>
    <w:rsid w:val="009C49A8"/>
    <w:rsid w:val="009C4B17"/>
    <w:rsid w:val="009C4BFC"/>
    <w:rsid w:val="009C4FD4"/>
    <w:rsid w:val="009C591F"/>
    <w:rsid w:val="009C5B1D"/>
    <w:rsid w:val="009C65AB"/>
    <w:rsid w:val="009C69A9"/>
    <w:rsid w:val="009C6B48"/>
    <w:rsid w:val="009C6DB1"/>
    <w:rsid w:val="009C7761"/>
    <w:rsid w:val="009D1A3B"/>
    <w:rsid w:val="009D2133"/>
    <w:rsid w:val="009D2873"/>
    <w:rsid w:val="009D3564"/>
    <w:rsid w:val="009D43F5"/>
    <w:rsid w:val="009D4D0C"/>
    <w:rsid w:val="009D4EA9"/>
    <w:rsid w:val="009D59A9"/>
    <w:rsid w:val="009D7CA8"/>
    <w:rsid w:val="009E0951"/>
    <w:rsid w:val="009E1003"/>
    <w:rsid w:val="009E21AC"/>
    <w:rsid w:val="009E2D25"/>
    <w:rsid w:val="009E365E"/>
    <w:rsid w:val="009E40CC"/>
    <w:rsid w:val="009E416E"/>
    <w:rsid w:val="009E4643"/>
    <w:rsid w:val="009E490E"/>
    <w:rsid w:val="009E5278"/>
    <w:rsid w:val="009E578B"/>
    <w:rsid w:val="009E63DA"/>
    <w:rsid w:val="009E6717"/>
    <w:rsid w:val="009E6D8B"/>
    <w:rsid w:val="009E74C9"/>
    <w:rsid w:val="009E775F"/>
    <w:rsid w:val="009F017D"/>
    <w:rsid w:val="009F0984"/>
    <w:rsid w:val="009F1BED"/>
    <w:rsid w:val="009F2834"/>
    <w:rsid w:val="009F2ABC"/>
    <w:rsid w:val="009F2ACC"/>
    <w:rsid w:val="009F362C"/>
    <w:rsid w:val="009F3678"/>
    <w:rsid w:val="009F3779"/>
    <w:rsid w:val="009F3933"/>
    <w:rsid w:val="009F5357"/>
    <w:rsid w:val="009F57EA"/>
    <w:rsid w:val="009F63A8"/>
    <w:rsid w:val="009F6CA6"/>
    <w:rsid w:val="009F70CB"/>
    <w:rsid w:val="009F76CA"/>
    <w:rsid w:val="009F7C62"/>
    <w:rsid w:val="00A00882"/>
    <w:rsid w:val="00A02E6D"/>
    <w:rsid w:val="00A031C1"/>
    <w:rsid w:val="00A03CA2"/>
    <w:rsid w:val="00A03FA2"/>
    <w:rsid w:val="00A043F1"/>
    <w:rsid w:val="00A0488D"/>
    <w:rsid w:val="00A04EDA"/>
    <w:rsid w:val="00A05220"/>
    <w:rsid w:val="00A053D4"/>
    <w:rsid w:val="00A06108"/>
    <w:rsid w:val="00A06529"/>
    <w:rsid w:val="00A06766"/>
    <w:rsid w:val="00A07048"/>
    <w:rsid w:val="00A07199"/>
    <w:rsid w:val="00A07C06"/>
    <w:rsid w:val="00A10046"/>
    <w:rsid w:val="00A11673"/>
    <w:rsid w:val="00A12486"/>
    <w:rsid w:val="00A1322A"/>
    <w:rsid w:val="00A13304"/>
    <w:rsid w:val="00A13A70"/>
    <w:rsid w:val="00A14275"/>
    <w:rsid w:val="00A14B09"/>
    <w:rsid w:val="00A150E6"/>
    <w:rsid w:val="00A15531"/>
    <w:rsid w:val="00A159DF"/>
    <w:rsid w:val="00A16817"/>
    <w:rsid w:val="00A17705"/>
    <w:rsid w:val="00A17E8C"/>
    <w:rsid w:val="00A21B35"/>
    <w:rsid w:val="00A21E7B"/>
    <w:rsid w:val="00A21F32"/>
    <w:rsid w:val="00A221E2"/>
    <w:rsid w:val="00A222E0"/>
    <w:rsid w:val="00A24947"/>
    <w:rsid w:val="00A24F13"/>
    <w:rsid w:val="00A24F47"/>
    <w:rsid w:val="00A25DF4"/>
    <w:rsid w:val="00A262CF"/>
    <w:rsid w:val="00A2653F"/>
    <w:rsid w:val="00A26EFB"/>
    <w:rsid w:val="00A2715D"/>
    <w:rsid w:val="00A3044F"/>
    <w:rsid w:val="00A308B6"/>
    <w:rsid w:val="00A32291"/>
    <w:rsid w:val="00A32DBE"/>
    <w:rsid w:val="00A32F45"/>
    <w:rsid w:val="00A3371D"/>
    <w:rsid w:val="00A343AD"/>
    <w:rsid w:val="00A3558F"/>
    <w:rsid w:val="00A35674"/>
    <w:rsid w:val="00A35A64"/>
    <w:rsid w:val="00A35CCA"/>
    <w:rsid w:val="00A367AE"/>
    <w:rsid w:val="00A375BE"/>
    <w:rsid w:val="00A412B2"/>
    <w:rsid w:val="00A413DF"/>
    <w:rsid w:val="00A4230C"/>
    <w:rsid w:val="00A4289C"/>
    <w:rsid w:val="00A434E5"/>
    <w:rsid w:val="00A439E1"/>
    <w:rsid w:val="00A4419F"/>
    <w:rsid w:val="00A44386"/>
    <w:rsid w:val="00A4441D"/>
    <w:rsid w:val="00A447CC"/>
    <w:rsid w:val="00A44A97"/>
    <w:rsid w:val="00A44C8D"/>
    <w:rsid w:val="00A457D5"/>
    <w:rsid w:val="00A46364"/>
    <w:rsid w:val="00A47E06"/>
    <w:rsid w:val="00A47E8A"/>
    <w:rsid w:val="00A5039B"/>
    <w:rsid w:val="00A50910"/>
    <w:rsid w:val="00A50F16"/>
    <w:rsid w:val="00A5100B"/>
    <w:rsid w:val="00A514BE"/>
    <w:rsid w:val="00A519E1"/>
    <w:rsid w:val="00A51C29"/>
    <w:rsid w:val="00A51EA5"/>
    <w:rsid w:val="00A52C4C"/>
    <w:rsid w:val="00A535BD"/>
    <w:rsid w:val="00A54783"/>
    <w:rsid w:val="00A54AFC"/>
    <w:rsid w:val="00A54B09"/>
    <w:rsid w:val="00A560C5"/>
    <w:rsid w:val="00A56467"/>
    <w:rsid w:val="00A5742C"/>
    <w:rsid w:val="00A57BC2"/>
    <w:rsid w:val="00A60580"/>
    <w:rsid w:val="00A60843"/>
    <w:rsid w:val="00A64767"/>
    <w:rsid w:val="00A64D0D"/>
    <w:rsid w:val="00A65180"/>
    <w:rsid w:val="00A657D4"/>
    <w:rsid w:val="00A65D9F"/>
    <w:rsid w:val="00A65F4A"/>
    <w:rsid w:val="00A661C4"/>
    <w:rsid w:val="00A668E4"/>
    <w:rsid w:val="00A66CE7"/>
    <w:rsid w:val="00A66E2B"/>
    <w:rsid w:val="00A6702C"/>
    <w:rsid w:val="00A70894"/>
    <w:rsid w:val="00A70AF2"/>
    <w:rsid w:val="00A71296"/>
    <w:rsid w:val="00A717C0"/>
    <w:rsid w:val="00A725C2"/>
    <w:rsid w:val="00A72AC7"/>
    <w:rsid w:val="00A72B22"/>
    <w:rsid w:val="00A730D7"/>
    <w:rsid w:val="00A7316A"/>
    <w:rsid w:val="00A73849"/>
    <w:rsid w:val="00A738C3"/>
    <w:rsid w:val="00A744ED"/>
    <w:rsid w:val="00A74727"/>
    <w:rsid w:val="00A7493E"/>
    <w:rsid w:val="00A75148"/>
    <w:rsid w:val="00A7551D"/>
    <w:rsid w:val="00A76327"/>
    <w:rsid w:val="00A76AC4"/>
    <w:rsid w:val="00A76F40"/>
    <w:rsid w:val="00A7703C"/>
    <w:rsid w:val="00A770CC"/>
    <w:rsid w:val="00A77AD9"/>
    <w:rsid w:val="00A8008C"/>
    <w:rsid w:val="00A805BF"/>
    <w:rsid w:val="00A806B6"/>
    <w:rsid w:val="00A81E8C"/>
    <w:rsid w:val="00A8222F"/>
    <w:rsid w:val="00A8250D"/>
    <w:rsid w:val="00A828A6"/>
    <w:rsid w:val="00A82D0F"/>
    <w:rsid w:val="00A82F4A"/>
    <w:rsid w:val="00A83294"/>
    <w:rsid w:val="00A832D2"/>
    <w:rsid w:val="00A83463"/>
    <w:rsid w:val="00A841BF"/>
    <w:rsid w:val="00A84FC3"/>
    <w:rsid w:val="00A86221"/>
    <w:rsid w:val="00A86D8A"/>
    <w:rsid w:val="00A87B0A"/>
    <w:rsid w:val="00A87E66"/>
    <w:rsid w:val="00A901A4"/>
    <w:rsid w:val="00A90A0E"/>
    <w:rsid w:val="00A90AE0"/>
    <w:rsid w:val="00A91097"/>
    <w:rsid w:val="00A9113F"/>
    <w:rsid w:val="00A9154F"/>
    <w:rsid w:val="00A91D95"/>
    <w:rsid w:val="00A92545"/>
    <w:rsid w:val="00A9346B"/>
    <w:rsid w:val="00A93AA8"/>
    <w:rsid w:val="00A940DA"/>
    <w:rsid w:val="00A952D0"/>
    <w:rsid w:val="00A9556B"/>
    <w:rsid w:val="00A96425"/>
    <w:rsid w:val="00A96477"/>
    <w:rsid w:val="00A966ED"/>
    <w:rsid w:val="00A96971"/>
    <w:rsid w:val="00A9729B"/>
    <w:rsid w:val="00AA01D4"/>
    <w:rsid w:val="00AA162D"/>
    <w:rsid w:val="00AA2518"/>
    <w:rsid w:val="00AA26DF"/>
    <w:rsid w:val="00AA2B14"/>
    <w:rsid w:val="00AA2D12"/>
    <w:rsid w:val="00AA35EC"/>
    <w:rsid w:val="00AA4A6A"/>
    <w:rsid w:val="00AA541C"/>
    <w:rsid w:val="00AA58E2"/>
    <w:rsid w:val="00AA5CDC"/>
    <w:rsid w:val="00AA6698"/>
    <w:rsid w:val="00AB05E3"/>
    <w:rsid w:val="00AB071F"/>
    <w:rsid w:val="00AB0B7D"/>
    <w:rsid w:val="00AB1140"/>
    <w:rsid w:val="00AB12A1"/>
    <w:rsid w:val="00AB1525"/>
    <w:rsid w:val="00AB1565"/>
    <w:rsid w:val="00AB325B"/>
    <w:rsid w:val="00AB56F9"/>
    <w:rsid w:val="00AB5D08"/>
    <w:rsid w:val="00AB5E26"/>
    <w:rsid w:val="00AB5E33"/>
    <w:rsid w:val="00AB6DF6"/>
    <w:rsid w:val="00AB7377"/>
    <w:rsid w:val="00AB76C6"/>
    <w:rsid w:val="00AB7B2A"/>
    <w:rsid w:val="00AC0378"/>
    <w:rsid w:val="00AC040F"/>
    <w:rsid w:val="00AC09C5"/>
    <w:rsid w:val="00AC0B12"/>
    <w:rsid w:val="00AC0D15"/>
    <w:rsid w:val="00AC2D6F"/>
    <w:rsid w:val="00AC3220"/>
    <w:rsid w:val="00AC33FF"/>
    <w:rsid w:val="00AC34C7"/>
    <w:rsid w:val="00AC3C93"/>
    <w:rsid w:val="00AC4413"/>
    <w:rsid w:val="00AC45F7"/>
    <w:rsid w:val="00AC4CF8"/>
    <w:rsid w:val="00AC5181"/>
    <w:rsid w:val="00AC6244"/>
    <w:rsid w:val="00AC715F"/>
    <w:rsid w:val="00AC734C"/>
    <w:rsid w:val="00AC7C13"/>
    <w:rsid w:val="00AD08F0"/>
    <w:rsid w:val="00AD0C38"/>
    <w:rsid w:val="00AD14B5"/>
    <w:rsid w:val="00AD23AA"/>
    <w:rsid w:val="00AD3475"/>
    <w:rsid w:val="00AD3822"/>
    <w:rsid w:val="00AD4B5C"/>
    <w:rsid w:val="00AD5204"/>
    <w:rsid w:val="00AD61FC"/>
    <w:rsid w:val="00AD6778"/>
    <w:rsid w:val="00AD7E7A"/>
    <w:rsid w:val="00AE0193"/>
    <w:rsid w:val="00AE0BF0"/>
    <w:rsid w:val="00AE127A"/>
    <w:rsid w:val="00AE1B15"/>
    <w:rsid w:val="00AE1C0D"/>
    <w:rsid w:val="00AE34E3"/>
    <w:rsid w:val="00AE4EBF"/>
    <w:rsid w:val="00AF0F26"/>
    <w:rsid w:val="00AF13EB"/>
    <w:rsid w:val="00AF1747"/>
    <w:rsid w:val="00AF1C8B"/>
    <w:rsid w:val="00AF20F6"/>
    <w:rsid w:val="00AF2C52"/>
    <w:rsid w:val="00AF40F8"/>
    <w:rsid w:val="00AF4FA4"/>
    <w:rsid w:val="00AF5089"/>
    <w:rsid w:val="00AF5FFB"/>
    <w:rsid w:val="00B005AE"/>
    <w:rsid w:val="00B011F8"/>
    <w:rsid w:val="00B01794"/>
    <w:rsid w:val="00B0230C"/>
    <w:rsid w:val="00B031FC"/>
    <w:rsid w:val="00B0444D"/>
    <w:rsid w:val="00B04720"/>
    <w:rsid w:val="00B06799"/>
    <w:rsid w:val="00B06A3D"/>
    <w:rsid w:val="00B06CA6"/>
    <w:rsid w:val="00B075A6"/>
    <w:rsid w:val="00B0772F"/>
    <w:rsid w:val="00B101F2"/>
    <w:rsid w:val="00B10A1D"/>
    <w:rsid w:val="00B11199"/>
    <w:rsid w:val="00B1126D"/>
    <w:rsid w:val="00B1145A"/>
    <w:rsid w:val="00B119C7"/>
    <w:rsid w:val="00B11ACE"/>
    <w:rsid w:val="00B121E3"/>
    <w:rsid w:val="00B12AEC"/>
    <w:rsid w:val="00B12BBF"/>
    <w:rsid w:val="00B134EA"/>
    <w:rsid w:val="00B13A27"/>
    <w:rsid w:val="00B1524F"/>
    <w:rsid w:val="00B1566D"/>
    <w:rsid w:val="00B15F0E"/>
    <w:rsid w:val="00B20CB6"/>
    <w:rsid w:val="00B23751"/>
    <w:rsid w:val="00B24901"/>
    <w:rsid w:val="00B24CAF"/>
    <w:rsid w:val="00B24CBF"/>
    <w:rsid w:val="00B25408"/>
    <w:rsid w:val="00B2542C"/>
    <w:rsid w:val="00B25444"/>
    <w:rsid w:val="00B25809"/>
    <w:rsid w:val="00B26C2D"/>
    <w:rsid w:val="00B278E0"/>
    <w:rsid w:val="00B27C70"/>
    <w:rsid w:val="00B27C75"/>
    <w:rsid w:val="00B30381"/>
    <w:rsid w:val="00B30DFD"/>
    <w:rsid w:val="00B31FDA"/>
    <w:rsid w:val="00B32869"/>
    <w:rsid w:val="00B333BA"/>
    <w:rsid w:val="00B33685"/>
    <w:rsid w:val="00B340A3"/>
    <w:rsid w:val="00B34FDC"/>
    <w:rsid w:val="00B3501C"/>
    <w:rsid w:val="00B3769A"/>
    <w:rsid w:val="00B37D16"/>
    <w:rsid w:val="00B40A18"/>
    <w:rsid w:val="00B40CAE"/>
    <w:rsid w:val="00B418B9"/>
    <w:rsid w:val="00B428BA"/>
    <w:rsid w:val="00B42F51"/>
    <w:rsid w:val="00B43657"/>
    <w:rsid w:val="00B446EF"/>
    <w:rsid w:val="00B4478D"/>
    <w:rsid w:val="00B45348"/>
    <w:rsid w:val="00B466F7"/>
    <w:rsid w:val="00B47B9D"/>
    <w:rsid w:val="00B50DF5"/>
    <w:rsid w:val="00B50E00"/>
    <w:rsid w:val="00B51E45"/>
    <w:rsid w:val="00B522AA"/>
    <w:rsid w:val="00B53BDB"/>
    <w:rsid w:val="00B5411E"/>
    <w:rsid w:val="00B54644"/>
    <w:rsid w:val="00B552B5"/>
    <w:rsid w:val="00B5532C"/>
    <w:rsid w:val="00B5622B"/>
    <w:rsid w:val="00B57403"/>
    <w:rsid w:val="00B574DF"/>
    <w:rsid w:val="00B577B5"/>
    <w:rsid w:val="00B57949"/>
    <w:rsid w:val="00B57A80"/>
    <w:rsid w:val="00B57D22"/>
    <w:rsid w:val="00B613F0"/>
    <w:rsid w:val="00B61748"/>
    <w:rsid w:val="00B6184E"/>
    <w:rsid w:val="00B6215C"/>
    <w:rsid w:val="00B642CA"/>
    <w:rsid w:val="00B64B94"/>
    <w:rsid w:val="00B65780"/>
    <w:rsid w:val="00B66B3A"/>
    <w:rsid w:val="00B66F85"/>
    <w:rsid w:val="00B67275"/>
    <w:rsid w:val="00B70CBF"/>
    <w:rsid w:val="00B71E3D"/>
    <w:rsid w:val="00B723C5"/>
    <w:rsid w:val="00B73727"/>
    <w:rsid w:val="00B73B47"/>
    <w:rsid w:val="00B744CB"/>
    <w:rsid w:val="00B747FA"/>
    <w:rsid w:val="00B74900"/>
    <w:rsid w:val="00B74AD7"/>
    <w:rsid w:val="00B762AB"/>
    <w:rsid w:val="00B76395"/>
    <w:rsid w:val="00B76E49"/>
    <w:rsid w:val="00B76F8F"/>
    <w:rsid w:val="00B816A7"/>
    <w:rsid w:val="00B81A5D"/>
    <w:rsid w:val="00B81AA6"/>
    <w:rsid w:val="00B81B2C"/>
    <w:rsid w:val="00B81E59"/>
    <w:rsid w:val="00B820E4"/>
    <w:rsid w:val="00B82480"/>
    <w:rsid w:val="00B82567"/>
    <w:rsid w:val="00B82D03"/>
    <w:rsid w:val="00B8308A"/>
    <w:rsid w:val="00B849FD"/>
    <w:rsid w:val="00B84B78"/>
    <w:rsid w:val="00B84E2F"/>
    <w:rsid w:val="00B854B8"/>
    <w:rsid w:val="00B85C09"/>
    <w:rsid w:val="00B86BCE"/>
    <w:rsid w:val="00B877DF"/>
    <w:rsid w:val="00B907D6"/>
    <w:rsid w:val="00B908EE"/>
    <w:rsid w:val="00B9139C"/>
    <w:rsid w:val="00B91F26"/>
    <w:rsid w:val="00B92316"/>
    <w:rsid w:val="00B92EB2"/>
    <w:rsid w:val="00B9338E"/>
    <w:rsid w:val="00B93AA2"/>
    <w:rsid w:val="00B94563"/>
    <w:rsid w:val="00B946CF"/>
    <w:rsid w:val="00B951A0"/>
    <w:rsid w:val="00B95A95"/>
    <w:rsid w:val="00B96E64"/>
    <w:rsid w:val="00B96E95"/>
    <w:rsid w:val="00B978D1"/>
    <w:rsid w:val="00B97D1A"/>
    <w:rsid w:val="00B97D8F"/>
    <w:rsid w:val="00B97E5F"/>
    <w:rsid w:val="00BA0BE6"/>
    <w:rsid w:val="00BA0DE2"/>
    <w:rsid w:val="00BA1BD0"/>
    <w:rsid w:val="00BA1D9B"/>
    <w:rsid w:val="00BA25B7"/>
    <w:rsid w:val="00BA27A6"/>
    <w:rsid w:val="00BA295C"/>
    <w:rsid w:val="00BA2EE7"/>
    <w:rsid w:val="00BA2EFF"/>
    <w:rsid w:val="00BA338F"/>
    <w:rsid w:val="00BA468D"/>
    <w:rsid w:val="00BA4E9F"/>
    <w:rsid w:val="00BA5448"/>
    <w:rsid w:val="00BA54BF"/>
    <w:rsid w:val="00BA55C4"/>
    <w:rsid w:val="00BA5CE1"/>
    <w:rsid w:val="00BA5ED3"/>
    <w:rsid w:val="00BA5F1E"/>
    <w:rsid w:val="00BA6FC2"/>
    <w:rsid w:val="00BA6FC8"/>
    <w:rsid w:val="00BA71C7"/>
    <w:rsid w:val="00BB10CD"/>
    <w:rsid w:val="00BB17D4"/>
    <w:rsid w:val="00BB1804"/>
    <w:rsid w:val="00BB1B08"/>
    <w:rsid w:val="00BB2418"/>
    <w:rsid w:val="00BB33A8"/>
    <w:rsid w:val="00BB36D6"/>
    <w:rsid w:val="00BB39F3"/>
    <w:rsid w:val="00BB3D65"/>
    <w:rsid w:val="00BB434B"/>
    <w:rsid w:val="00BB47FB"/>
    <w:rsid w:val="00BB4989"/>
    <w:rsid w:val="00BB580A"/>
    <w:rsid w:val="00BB5C72"/>
    <w:rsid w:val="00BB5D04"/>
    <w:rsid w:val="00BB6123"/>
    <w:rsid w:val="00BB64C4"/>
    <w:rsid w:val="00BB6E85"/>
    <w:rsid w:val="00BB6FF1"/>
    <w:rsid w:val="00BB7971"/>
    <w:rsid w:val="00BC0361"/>
    <w:rsid w:val="00BC0C55"/>
    <w:rsid w:val="00BC11AA"/>
    <w:rsid w:val="00BC2423"/>
    <w:rsid w:val="00BC24FD"/>
    <w:rsid w:val="00BC2968"/>
    <w:rsid w:val="00BC3FD7"/>
    <w:rsid w:val="00BC4DB2"/>
    <w:rsid w:val="00BC4EA3"/>
    <w:rsid w:val="00BC509A"/>
    <w:rsid w:val="00BC586A"/>
    <w:rsid w:val="00BC6A63"/>
    <w:rsid w:val="00BC7932"/>
    <w:rsid w:val="00BC7B19"/>
    <w:rsid w:val="00BD0045"/>
    <w:rsid w:val="00BD09D4"/>
    <w:rsid w:val="00BD0F83"/>
    <w:rsid w:val="00BD1D9B"/>
    <w:rsid w:val="00BD1DFD"/>
    <w:rsid w:val="00BD2CA0"/>
    <w:rsid w:val="00BD378E"/>
    <w:rsid w:val="00BD4968"/>
    <w:rsid w:val="00BD5294"/>
    <w:rsid w:val="00BD5455"/>
    <w:rsid w:val="00BD6F5E"/>
    <w:rsid w:val="00BD6F70"/>
    <w:rsid w:val="00BD7937"/>
    <w:rsid w:val="00BE06E6"/>
    <w:rsid w:val="00BE11FE"/>
    <w:rsid w:val="00BE395E"/>
    <w:rsid w:val="00BE3BCE"/>
    <w:rsid w:val="00BE3C16"/>
    <w:rsid w:val="00BE46A1"/>
    <w:rsid w:val="00BE4930"/>
    <w:rsid w:val="00BE4AFD"/>
    <w:rsid w:val="00BE4D2C"/>
    <w:rsid w:val="00BE516C"/>
    <w:rsid w:val="00BE5653"/>
    <w:rsid w:val="00BE56CE"/>
    <w:rsid w:val="00BE6362"/>
    <w:rsid w:val="00BE76F6"/>
    <w:rsid w:val="00BE78EE"/>
    <w:rsid w:val="00BF07E9"/>
    <w:rsid w:val="00BF0911"/>
    <w:rsid w:val="00BF120F"/>
    <w:rsid w:val="00BF1837"/>
    <w:rsid w:val="00BF1AF1"/>
    <w:rsid w:val="00BF2442"/>
    <w:rsid w:val="00BF2B67"/>
    <w:rsid w:val="00BF3CE5"/>
    <w:rsid w:val="00BF4D53"/>
    <w:rsid w:val="00BF56CF"/>
    <w:rsid w:val="00BF5D2A"/>
    <w:rsid w:val="00BF781F"/>
    <w:rsid w:val="00BF7D22"/>
    <w:rsid w:val="00C006CF"/>
    <w:rsid w:val="00C00AF8"/>
    <w:rsid w:val="00C0169E"/>
    <w:rsid w:val="00C02032"/>
    <w:rsid w:val="00C023E7"/>
    <w:rsid w:val="00C035AA"/>
    <w:rsid w:val="00C041AA"/>
    <w:rsid w:val="00C0420F"/>
    <w:rsid w:val="00C04351"/>
    <w:rsid w:val="00C0503D"/>
    <w:rsid w:val="00C0525C"/>
    <w:rsid w:val="00C063A7"/>
    <w:rsid w:val="00C06D69"/>
    <w:rsid w:val="00C0701C"/>
    <w:rsid w:val="00C07553"/>
    <w:rsid w:val="00C0779E"/>
    <w:rsid w:val="00C07D67"/>
    <w:rsid w:val="00C07E37"/>
    <w:rsid w:val="00C07FF1"/>
    <w:rsid w:val="00C100A8"/>
    <w:rsid w:val="00C1144A"/>
    <w:rsid w:val="00C116E0"/>
    <w:rsid w:val="00C11A7F"/>
    <w:rsid w:val="00C12DDD"/>
    <w:rsid w:val="00C132C5"/>
    <w:rsid w:val="00C13793"/>
    <w:rsid w:val="00C1441D"/>
    <w:rsid w:val="00C14F19"/>
    <w:rsid w:val="00C15ECB"/>
    <w:rsid w:val="00C1617F"/>
    <w:rsid w:val="00C16A23"/>
    <w:rsid w:val="00C16BEE"/>
    <w:rsid w:val="00C16F37"/>
    <w:rsid w:val="00C1782E"/>
    <w:rsid w:val="00C17B63"/>
    <w:rsid w:val="00C17FCD"/>
    <w:rsid w:val="00C20091"/>
    <w:rsid w:val="00C21269"/>
    <w:rsid w:val="00C21594"/>
    <w:rsid w:val="00C21A82"/>
    <w:rsid w:val="00C222A2"/>
    <w:rsid w:val="00C22C9E"/>
    <w:rsid w:val="00C22D77"/>
    <w:rsid w:val="00C23C68"/>
    <w:rsid w:val="00C26161"/>
    <w:rsid w:val="00C26A71"/>
    <w:rsid w:val="00C26FCB"/>
    <w:rsid w:val="00C272DD"/>
    <w:rsid w:val="00C27B43"/>
    <w:rsid w:val="00C27BAE"/>
    <w:rsid w:val="00C30086"/>
    <w:rsid w:val="00C302DE"/>
    <w:rsid w:val="00C303A7"/>
    <w:rsid w:val="00C31D81"/>
    <w:rsid w:val="00C31E1C"/>
    <w:rsid w:val="00C320CB"/>
    <w:rsid w:val="00C32A5A"/>
    <w:rsid w:val="00C339D7"/>
    <w:rsid w:val="00C33B7F"/>
    <w:rsid w:val="00C34200"/>
    <w:rsid w:val="00C348B4"/>
    <w:rsid w:val="00C355AB"/>
    <w:rsid w:val="00C357B0"/>
    <w:rsid w:val="00C35E94"/>
    <w:rsid w:val="00C366D8"/>
    <w:rsid w:val="00C36775"/>
    <w:rsid w:val="00C36CF4"/>
    <w:rsid w:val="00C379EC"/>
    <w:rsid w:val="00C403B2"/>
    <w:rsid w:val="00C415CC"/>
    <w:rsid w:val="00C41CFA"/>
    <w:rsid w:val="00C41D66"/>
    <w:rsid w:val="00C41DA9"/>
    <w:rsid w:val="00C4211B"/>
    <w:rsid w:val="00C42CE1"/>
    <w:rsid w:val="00C431A1"/>
    <w:rsid w:val="00C434BE"/>
    <w:rsid w:val="00C43FAC"/>
    <w:rsid w:val="00C4453B"/>
    <w:rsid w:val="00C4506D"/>
    <w:rsid w:val="00C4602F"/>
    <w:rsid w:val="00C4626E"/>
    <w:rsid w:val="00C46F63"/>
    <w:rsid w:val="00C507D5"/>
    <w:rsid w:val="00C50C32"/>
    <w:rsid w:val="00C5147E"/>
    <w:rsid w:val="00C51812"/>
    <w:rsid w:val="00C52441"/>
    <w:rsid w:val="00C524A3"/>
    <w:rsid w:val="00C5255D"/>
    <w:rsid w:val="00C538F0"/>
    <w:rsid w:val="00C53BBF"/>
    <w:rsid w:val="00C53C9C"/>
    <w:rsid w:val="00C54216"/>
    <w:rsid w:val="00C545AA"/>
    <w:rsid w:val="00C55473"/>
    <w:rsid w:val="00C55541"/>
    <w:rsid w:val="00C55743"/>
    <w:rsid w:val="00C56388"/>
    <w:rsid w:val="00C563AC"/>
    <w:rsid w:val="00C572FA"/>
    <w:rsid w:val="00C576C6"/>
    <w:rsid w:val="00C579DC"/>
    <w:rsid w:val="00C60ACA"/>
    <w:rsid w:val="00C60EDC"/>
    <w:rsid w:val="00C61FC3"/>
    <w:rsid w:val="00C61FE5"/>
    <w:rsid w:val="00C62076"/>
    <w:rsid w:val="00C621E5"/>
    <w:rsid w:val="00C6229E"/>
    <w:rsid w:val="00C631A8"/>
    <w:rsid w:val="00C63991"/>
    <w:rsid w:val="00C63C2F"/>
    <w:rsid w:val="00C658B1"/>
    <w:rsid w:val="00C6597C"/>
    <w:rsid w:val="00C662AF"/>
    <w:rsid w:val="00C67023"/>
    <w:rsid w:val="00C67132"/>
    <w:rsid w:val="00C67E22"/>
    <w:rsid w:val="00C700E7"/>
    <w:rsid w:val="00C70181"/>
    <w:rsid w:val="00C7045D"/>
    <w:rsid w:val="00C70901"/>
    <w:rsid w:val="00C71007"/>
    <w:rsid w:val="00C7175E"/>
    <w:rsid w:val="00C7257D"/>
    <w:rsid w:val="00C738F8"/>
    <w:rsid w:val="00C73C41"/>
    <w:rsid w:val="00C751B1"/>
    <w:rsid w:val="00C75743"/>
    <w:rsid w:val="00C75E74"/>
    <w:rsid w:val="00C80969"/>
    <w:rsid w:val="00C818F1"/>
    <w:rsid w:val="00C81BF0"/>
    <w:rsid w:val="00C82519"/>
    <w:rsid w:val="00C8280C"/>
    <w:rsid w:val="00C84B26"/>
    <w:rsid w:val="00C84D78"/>
    <w:rsid w:val="00C8585A"/>
    <w:rsid w:val="00C85C75"/>
    <w:rsid w:val="00C85DDE"/>
    <w:rsid w:val="00C85ED6"/>
    <w:rsid w:val="00C86B67"/>
    <w:rsid w:val="00C86BEC"/>
    <w:rsid w:val="00C86C6F"/>
    <w:rsid w:val="00C871FF"/>
    <w:rsid w:val="00C87746"/>
    <w:rsid w:val="00C87AC3"/>
    <w:rsid w:val="00C87D28"/>
    <w:rsid w:val="00C902EC"/>
    <w:rsid w:val="00C90D39"/>
    <w:rsid w:val="00C92334"/>
    <w:rsid w:val="00C92974"/>
    <w:rsid w:val="00C93662"/>
    <w:rsid w:val="00C9377D"/>
    <w:rsid w:val="00C960A7"/>
    <w:rsid w:val="00C961F3"/>
    <w:rsid w:val="00C963EF"/>
    <w:rsid w:val="00C97F94"/>
    <w:rsid w:val="00CA1FA2"/>
    <w:rsid w:val="00CA2CFE"/>
    <w:rsid w:val="00CA3D22"/>
    <w:rsid w:val="00CA44C5"/>
    <w:rsid w:val="00CA4D8E"/>
    <w:rsid w:val="00CA5189"/>
    <w:rsid w:val="00CA5576"/>
    <w:rsid w:val="00CA58BD"/>
    <w:rsid w:val="00CA61DA"/>
    <w:rsid w:val="00CA6FAA"/>
    <w:rsid w:val="00CA73AC"/>
    <w:rsid w:val="00CA7B76"/>
    <w:rsid w:val="00CA7D35"/>
    <w:rsid w:val="00CB1304"/>
    <w:rsid w:val="00CB189F"/>
    <w:rsid w:val="00CB198A"/>
    <w:rsid w:val="00CB2B13"/>
    <w:rsid w:val="00CB30A6"/>
    <w:rsid w:val="00CB3B85"/>
    <w:rsid w:val="00CB4D7F"/>
    <w:rsid w:val="00CB4F84"/>
    <w:rsid w:val="00CB6052"/>
    <w:rsid w:val="00CB645A"/>
    <w:rsid w:val="00CB7178"/>
    <w:rsid w:val="00CB7449"/>
    <w:rsid w:val="00CB7F85"/>
    <w:rsid w:val="00CC03AE"/>
    <w:rsid w:val="00CC0A65"/>
    <w:rsid w:val="00CC0F7B"/>
    <w:rsid w:val="00CC11F1"/>
    <w:rsid w:val="00CC14E0"/>
    <w:rsid w:val="00CC202F"/>
    <w:rsid w:val="00CC24B6"/>
    <w:rsid w:val="00CC27BB"/>
    <w:rsid w:val="00CC4695"/>
    <w:rsid w:val="00CC50A8"/>
    <w:rsid w:val="00CC6142"/>
    <w:rsid w:val="00CC642A"/>
    <w:rsid w:val="00CC72D8"/>
    <w:rsid w:val="00CC7460"/>
    <w:rsid w:val="00CC74AC"/>
    <w:rsid w:val="00CD02FE"/>
    <w:rsid w:val="00CD03FD"/>
    <w:rsid w:val="00CD085E"/>
    <w:rsid w:val="00CD0D23"/>
    <w:rsid w:val="00CD1A86"/>
    <w:rsid w:val="00CD1D52"/>
    <w:rsid w:val="00CD278A"/>
    <w:rsid w:val="00CD2A77"/>
    <w:rsid w:val="00CD3107"/>
    <w:rsid w:val="00CD44F0"/>
    <w:rsid w:val="00CD4537"/>
    <w:rsid w:val="00CD46FE"/>
    <w:rsid w:val="00CD4E4F"/>
    <w:rsid w:val="00CD5425"/>
    <w:rsid w:val="00CD5C84"/>
    <w:rsid w:val="00CD7304"/>
    <w:rsid w:val="00CD7A85"/>
    <w:rsid w:val="00CE001D"/>
    <w:rsid w:val="00CE0631"/>
    <w:rsid w:val="00CE0EB9"/>
    <w:rsid w:val="00CE1189"/>
    <w:rsid w:val="00CE11CE"/>
    <w:rsid w:val="00CE15EE"/>
    <w:rsid w:val="00CE16E2"/>
    <w:rsid w:val="00CE1BFA"/>
    <w:rsid w:val="00CE1D8C"/>
    <w:rsid w:val="00CE208D"/>
    <w:rsid w:val="00CE29CD"/>
    <w:rsid w:val="00CE2BD2"/>
    <w:rsid w:val="00CE2EEE"/>
    <w:rsid w:val="00CE35C3"/>
    <w:rsid w:val="00CE4523"/>
    <w:rsid w:val="00CE45AF"/>
    <w:rsid w:val="00CE46F6"/>
    <w:rsid w:val="00CE53A8"/>
    <w:rsid w:val="00CE5778"/>
    <w:rsid w:val="00CE6207"/>
    <w:rsid w:val="00CE68AA"/>
    <w:rsid w:val="00CE6C8F"/>
    <w:rsid w:val="00CE725C"/>
    <w:rsid w:val="00CE7519"/>
    <w:rsid w:val="00CF0855"/>
    <w:rsid w:val="00CF172E"/>
    <w:rsid w:val="00CF19B3"/>
    <w:rsid w:val="00CF2343"/>
    <w:rsid w:val="00CF29BC"/>
    <w:rsid w:val="00CF2C5F"/>
    <w:rsid w:val="00CF333B"/>
    <w:rsid w:val="00CF3E3C"/>
    <w:rsid w:val="00CF51D7"/>
    <w:rsid w:val="00CF5544"/>
    <w:rsid w:val="00CF5558"/>
    <w:rsid w:val="00CF62C5"/>
    <w:rsid w:val="00CF6A75"/>
    <w:rsid w:val="00CF6FEB"/>
    <w:rsid w:val="00CF7336"/>
    <w:rsid w:val="00D00F1B"/>
    <w:rsid w:val="00D01579"/>
    <w:rsid w:val="00D019CE"/>
    <w:rsid w:val="00D0261A"/>
    <w:rsid w:val="00D029DC"/>
    <w:rsid w:val="00D039F9"/>
    <w:rsid w:val="00D03AEB"/>
    <w:rsid w:val="00D045BF"/>
    <w:rsid w:val="00D047EA"/>
    <w:rsid w:val="00D0496A"/>
    <w:rsid w:val="00D057D4"/>
    <w:rsid w:val="00D0583B"/>
    <w:rsid w:val="00D0590A"/>
    <w:rsid w:val="00D05E0C"/>
    <w:rsid w:val="00D0642E"/>
    <w:rsid w:val="00D077C1"/>
    <w:rsid w:val="00D10283"/>
    <w:rsid w:val="00D12270"/>
    <w:rsid w:val="00D12AAA"/>
    <w:rsid w:val="00D136BB"/>
    <w:rsid w:val="00D13851"/>
    <w:rsid w:val="00D1416E"/>
    <w:rsid w:val="00D14589"/>
    <w:rsid w:val="00D1513C"/>
    <w:rsid w:val="00D15547"/>
    <w:rsid w:val="00D15821"/>
    <w:rsid w:val="00D158CE"/>
    <w:rsid w:val="00D16386"/>
    <w:rsid w:val="00D16541"/>
    <w:rsid w:val="00D16571"/>
    <w:rsid w:val="00D170D6"/>
    <w:rsid w:val="00D17527"/>
    <w:rsid w:val="00D17904"/>
    <w:rsid w:val="00D203E1"/>
    <w:rsid w:val="00D21D2A"/>
    <w:rsid w:val="00D21EA3"/>
    <w:rsid w:val="00D225DE"/>
    <w:rsid w:val="00D23624"/>
    <w:rsid w:val="00D23648"/>
    <w:rsid w:val="00D23AD6"/>
    <w:rsid w:val="00D2600E"/>
    <w:rsid w:val="00D26165"/>
    <w:rsid w:val="00D26F5D"/>
    <w:rsid w:val="00D277FD"/>
    <w:rsid w:val="00D308B0"/>
    <w:rsid w:val="00D30BAC"/>
    <w:rsid w:val="00D31213"/>
    <w:rsid w:val="00D31780"/>
    <w:rsid w:val="00D32135"/>
    <w:rsid w:val="00D3306E"/>
    <w:rsid w:val="00D33ADB"/>
    <w:rsid w:val="00D33D2E"/>
    <w:rsid w:val="00D33D58"/>
    <w:rsid w:val="00D34FB2"/>
    <w:rsid w:val="00D36976"/>
    <w:rsid w:val="00D36A68"/>
    <w:rsid w:val="00D37F38"/>
    <w:rsid w:val="00D40DE0"/>
    <w:rsid w:val="00D415FA"/>
    <w:rsid w:val="00D41C55"/>
    <w:rsid w:val="00D41DCC"/>
    <w:rsid w:val="00D41EF3"/>
    <w:rsid w:val="00D42BEB"/>
    <w:rsid w:val="00D446E2"/>
    <w:rsid w:val="00D4483B"/>
    <w:rsid w:val="00D451EC"/>
    <w:rsid w:val="00D45E7D"/>
    <w:rsid w:val="00D45EE4"/>
    <w:rsid w:val="00D460A2"/>
    <w:rsid w:val="00D46D9C"/>
    <w:rsid w:val="00D5064B"/>
    <w:rsid w:val="00D5111F"/>
    <w:rsid w:val="00D513FF"/>
    <w:rsid w:val="00D51590"/>
    <w:rsid w:val="00D52988"/>
    <w:rsid w:val="00D52F67"/>
    <w:rsid w:val="00D533B4"/>
    <w:rsid w:val="00D5358C"/>
    <w:rsid w:val="00D5446F"/>
    <w:rsid w:val="00D54750"/>
    <w:rsid w:val="00D54BDA"/>
    <w:rsid w:val="00D54BDC"/>
    <w:rsid w:val="00D55A33"/>
    <w:rsid w:val="00D55BA5"/>
    <w:rsid w:val="00D56258"/>
    <w:rsid w:val="00D5727A"/>
    <w:rsid w:val="00D573A2"/>
    <w:rsid w:val="00D57668"/>
    <w:rsid w:val="00D60BAE"/>
    <w:rsid w:val="00D610D8"/>
    <w:rsid w:val="00D61789"/>
    <w:rsid w:val="00D6246B"/>
    <w:rsid w:val="00D645A6"/>
    <w:rsid w:val="00D648A5"/>
    <w:rsid w:val="00D64FB0"/>
    <w:rsid w:val="00D65166"/>
    <w:rsid w:val="00D65761"/>
    <w:rsid w:val="00D660A1"/>
    <w:rsid w:val="00D662B0"/>
    <w:rsid w:val="00D670A0"/>
    <w:rsid w:val="00D67351"/>
    <w:rsid w:val="00D7056A"/>
    <w:rsid w:val="00D707E6"/>
    <w:rsid w:val="00D70E65"/>
    <w:rsid w:val="00D71555"/>
    <w:rsid w:val="00D72560"/>
    <w:rsid w:val="00D725AA"/>
    <w:rsid w:val="00D72617"/>
    <w:rsid w:val="00D72E65"/>
    <w:rsid w:val="00D736FC"/>
    <w:rsid w:val="00D741C7"/>
    <w:rsid w:val="00D74220"/>
    <w:rsid w:val="00D74575"/>
    <w:rsid w:val="00D74B1E"/>
    <w:rsid w:val="00D75425"/>
    <w:rsid w:val="00D75A85"/>
    <w:rsid w:val="00D7757F"/>
    <w:rsid w:val="00D77733"/>
    <w:rsid w:val="00D77FF8"/>
    <w:rsid w:val="00D82DFA"/>
    <w:rsid w:val="00D83E13"/>
    <w:rsid w:val="00D84790"/>
    <w:rsid w:val="00D8485A"/>
    <w:rsid w:val="00D848BC"/>
    <w:rsid w:val="00D87210"/>
    <w:rsid w:val="00D874C3"/>
    <w:rsid w:val="00D87570"/>
    <w:rsid w:val="00D87A05"/>
    <w:rsid w:val="00D87B61"/>
    <w:rsid w:val="00D90067"/>
    <w:rsid w:val="00D906E7"/>
    <w:rsid w:val="00D91298"/>
    <w:rsid w:val="00D91BEB"/>
    <w:rsid w:val="00D92740"/>
    <w:rsid w:val="00D930AF"/>
    <w:rsid w:val="00D939B1"/>
    <w:rsid w:val="00D93A60"/>
    <w:rsid w:val="00D9418D"/>
    <w:rsid w:val="00D9455A"/>
    <w:rsid w:val="00D94A37"/>
    <w:rsid w:val="00D95010"/>
    <w:rsid w:val="00D950C2"/>
    <w:rsid w:val="00D95B41"/>
    <w:rsid w:val="00D96B48"/>
    <w:rsid w:val="00D9733A"/>
    <w:rsid w:val="00D97DE5"/>
    <w:rsid w:val="00D97E0E"/>
    <w:rsid w:val="00D97FE7"/>
    <w:rsid w:val="00DA098A"/>
    <w:rsid w:val="00DA19BA"/>
    <w:rsid w:val="00DA1B32"/>
    <w:rsid w:val="00DA1F4B"/>
    <w:rsid w:val="00DA24F3"/>
    <w:rsid w:val="00DA34CB"/>
    <w:rsid w:val="00DA35CF"/>
    <w:rsid w:val="00DA45B9"/>
    <w:rsid w:val="00DA58D9"/>
    <w:rsid w:val="00DA5A32"/>
    <w:rsid w:val="00DA607C"/>
    <w:rsid w:val="00DA79FD"/>
    <w:rsid w:val="00DA7E87"/>
    <w:rsid w:val="00DA7FC7"/>
    <w:rsid w:val="00DB049A"/>
    <w:rsid w:val="00DB49FC"/>
    <w:rsid w:val="00DB4D71"/>
    <w:rsid w:val="00DB5C41"/>
    <w:rsid w:val="00DB776C"/>
    <w:rsid w:val="00DB79D2"/>
    <w:rsid w:val="00DC027A"/>
    <w:rsid w:val="00DC0A01"/>
    <w:rsid w:val="00DC0B71"/>
    <w:rsid w:val="00DC11C0"/>
    <w:rsid w:val="00DC18DA"/>
    <w:rsid w:val="00DC1AF6"/>
    <w:rsid w:val="00DC3200"/>
    <w:rsid w:val="00DC3A0C"/>
    <w:rsid w:val="00DC3C8D"/>
    <w:rsid w:val="00DC3CBB"/>
    <w:rsid w:val="00DC4511"/>
    <w:rsid w:val="00DC4F88"/>
    <w:rsid w:val="00DC5286"/>
    <w:rsid w:val="00DC593E"/>
    <w:rsid w:val="00DC7414"/>
    <w:rsid w:val="00DC7648"/>
    <w:rsid w:val="00DC7BCE"/>
    <w:rsid w:val="00DC7F5D"/>
    <w:rsid w:val="00DD0098"/>
    <w:rsid w:val="00DD00A2"/>
    <w:rsid w:val="00DD0D6B"/>
    <w:rsid w:val="00DD2482"/>
    <w:rsid w:val="00DD3C49"/>
    <w:rsid w:val="00DD412C"/>
    <w:rsid w:val="00DD4355"/>
    <w:rsid w:val="00DD4C8B"/>
    <w:rsid w:val="00DD58B7"/>
    <w:rsid w:val="00DD7081"/>
    <w:rsid w:val="00DD7DB6"/>
    <w:rsid w:val="00DE1872"/>
    <w:rsid w:val="00DE3018"/>
    <w:rsid w:val="00DE3301"/>
    <w:rsid w:val="00DE39F1"/>
    <w:rsid w:val="00DE4CA4"/>
    <w:rsid w:val="00DE5718"/>
    <w:rsid w:val="00DE5750"/>
    <w:rsid w:val="00DE6FC7"/>
    <w:rsid w:val="00DE7079"/>
    <w:rsid w:val="00DE78D1"/>
    <w:rsid w:val="00DE7A51"/>
    <w:rsid w:val="00DE7CFA"/>
    <w:rsid w:val="00DF06C0"/>
    <w:rsid w:val="00DF334F"/>
    <w:rsid w:val="00DF3352"/>
    <w:rsid w:val="00DF3852"/>
    <w:rsid w:val="00DF38B1"/>
    <w:rsid w:val="00DF513F"/>
    <w:rsid w:val="00DF5EA7"/>
    <w:rsid w:val="00DF6F83"/>
    <w:rsid w:val="00DF76D3"/>
    <w:rsid w:val="00DF7A0B"/>
    <w:rsid w:val="00DF7A60"/>
    <w:rsid w:val="00E00013"/>
    <w:rsid w:val="00E00F56"/>
    <w:rsid w:val="00E017D2"/>
    <w:rsid w:val="00E01FCD"/>
    <w:rsid w:val="00E02998"/>
    <w:rsid w:val="00E02A6B"/>
    <w:rsid w:val="00E0376F"/>
    <w:rsid w:val="00E03901"/>
    <w:rsid w:val="00E03EE0"/>
    <w:rsid w:val="00E05220"/>
    <w:rsid w:val="00E05319"/>
    <w:rsid w:val="00E05D79"/>
    <w:rsid w:val="00E05E86"/>
    <w:rsid w:val="00E062DB"/>
    <w:rsid w:val="00E06416"/>
    <w:rsid w:val="00E066D7"/>
    <w:rsid w:val="00E07167"/>
    <w:rsid w:val="00E07806"/>
    <w:rsid w:val="00E07F5C"/>
    <w:rsid w:val="00E10761"/>
    <w:rsid w:val="00E10ABE"/>
    <w:rsid w:val="00E10DE0"/>
    <w:rsid w:val="00E10F50"/>
    <w:rsid w:val="00E11C33"/>
    <w:rsid w:val="00E11EFC"/>
    <w:rsid w:val="00E13D47"/>
    <w:rsid w:val="00E140C4"/>
    <w:rsid w:val="00E14187"/>
    <w:rsid w:val="00E14279"/>
    <w:rsid w:val="00E14C80"/>
    <w:rsid w:val="00E14CEA"/>
    <w:rsid w:val="00E15C0D"/>
    <w:rsid w:val="00E16240"/>
    <w:rsid w:val="00E1777E"/>
    <w:rsid w:val="00E17D9B"/>
    <w:rsid w:val="00E201D3"/>
    <w:rsid w:val="00E20D75"/>
    <w:rsid w:val="00E219AB"/>
    <w:rsid w:val="00E21F98"/>
    <w:rsid w:val="00E22F02"/>
    <w:rsid w:val="00E23311"/>
    <w:rsid w:val="00E23338"/>
    <w:rsid w:val="00E233B0"/>
    <w:rsid w:val="00E2481E"/>
    <w:rsid w:val="00E257D7"/>
    <w:rsid w:val="00E260BA"/>
    <w:rsid w:val="00E261EF"/>
    <w:rsid w:val="00E262AE"/>
    <w:rsid w:val="00E26472"/>
    <w:rsid w:val="00E2687F"/>
    <w:rsid w:val="00E26BC3"/>
    <w:rsid w:val="00E277BD"/>
    <w:rsid w:val="00E27A6B"/>
    <w:rsid w:val="00E27CC2"/>
    <w:rsid w:val="00E30373"/>
    <w:rsid w:val="00E31A49"/>
    <w:rsid w:val="00E32280"/>
    <w:rsid w:val="00E32601"/>
    <w:rsid w:val="00E337C0"/>
    <w:rsid w:val="00E34000"/>
    <w:rsid w:val="00E343A1"/>
    <w:rsid w:val="00E34555"/>
    <w:rsid w:val="00E35615"/>
    <w:rsid w:val="00E35780"/>
    <w:rsid w:val="00E35D44"/>
    <w:rsid w:val="00E36405"/>
    <w:rsid w:val="00E36B13"/>
    <w:rsid w:val="00E36E30"/>
    <w:rsid w:val="00E3714C"/>
    <w:rsid w:val="00E3746D"/>
    <w:rsid w:val="00E4019E"/>
    <w:rsid w:val="00E421E3"/>
    <w:rsid w:val="00E423A0"/>
    <w:rsid w:val="00E42FA8"/>
    <w:rsid w:val="00E44D88"/>
    <w:rsid w:val="00E44E53"/>
    <w:rsid w:val="00E45127"/>
    <w:rsid w:val="00E45133"/>
    <w:rsid w:val="00E465B0"/>
    <w:rsid w:val="00E46C53"/>
    <w:rsid w:val="00E46F04"/>
    <w:rsid w:val="00E47265"/>
    <w:rsid w:val="00E502C7"/>
    <w:rsid w:val="00E50A71"/>
    <w:rsid w:val="00E50BFD"/>
    <w:rsid w:val="00E51219"/>
    <w:rsid w:val="00E512C1"/>
    <w:rsid w:val="00E513C1"/>
    <w:rsid w:val="00E51498"/>
    <w:rsid w:val="00E5171C"/>
    <w:rsid w:val="00E51721"/>
    <w:rsid w:val="00E52058"/>
    <w:rsid w:val="00E55478"/>
    <w:rsid w:val="00E55F81"/>
    <w:rsid w:val="00E569B6"/>
    <w:rsid w:val="00E56C75"/>
    <w:rsid w:val="00E56F90"/>
    <w:rsid w:val="00E576CE"/>
    <w:rsid w:val="00E57C43"/>
    <w:rsid w:val="00E61538"/>
    <w:rsid w:val="00E62192"/>
    <w:rsid w:val="00E62618"/>
    <w:rsid w:val="00E63738"/>
    <w:rsid w:val="00E63D3E"/>
    <w:rsid w:val="00E64238"/>
    <w:rsid w:val="00E6446E"/>
    <w:rsid w:val="00E65524"/>
    <w:rsid w:val="00E65939"/>
    <w:rsid w:val="00E65C67"/>
    <w:rsid w:val="00E66E90"/>
    <w:rsid w:val="00E674BB"/>
    <w:rsid w:val="00E675F7"/>
    <w:rsid w:val="00E678AD"/>
    <w:rsid w:val="00E67B55"/>
    <w:rsid w:val="00E67D32"/>
    <w:rsid w:val="00E67D98"/>
    <w:rsid w:val="00E70DD0"/>
    <w:rsid w:val="00E7109D"/>
    <w:rsid w:val="00E7183C"/>
    <w:rsid w:val="00E71D79"/>
    <w:rsid w:val="00E7248C"/>
    <w:rsid w:val="00E72744"/>
    <w:rsid w:val="00E72BB8"/>
    <w:rsid w:val="00E72EC6"/>
    <w:rsid w:val="00E738C7"/>
    <w:rsid w:val="00E73DFA"/>
    <w:rsid w:val="00E74FD0"/>
    <w:rsid w:val="00E754BE"/>
    <w:rsid w:val="00E75B2F"/>
    <w:rsid w:val="00E80AAC"/>
    <w:rsid w:val="00E80BD0"/>
    <w:rsid w:val="00E822C7"/>
    <w:rsid w:val="00E8271C"/>
    <w:rsid w:val="00E829B9"/>
    <w:rsid w:val="00E82A2D"/>
    <w:rsid w:val="00E83BC5"/>
    <w:rsid w:val="00E83DE2"/>
    <w:rsid w:val="00E84018"/>
    <w:rsid w:val="00E8488B"/>
    <w:rsid w:val="00E85BBE"/>
    <w:rsid w:val="00E869CD"/>
    <w:rsid w:val="00E87E1A"/>
    <w:rsid w:val="00E90677"/>
    <w:rsid w:val="00E91866"/>
    <w:rsid w:val="00E91D9C"/>
    <w:rsid w:val="00E91E96"/>
    <w:rsid w:val="00E92FFA"/>
    <w:rsid w:val="00E933D0"/>
    <w:rsid w:val="00E9525B"/>
    <w:rsid w:val="00E954B0"/>
    <w:rsid w:val="00E955B1"/>
    <w:rsid w:val="00E9625D"/>
    <w:rsid w:val="00E9665B"/>
    <w:rsid w:val="00E97403"/>
    <w:rsid w:val="00E97452"/>
    <w:rsid w:val="00E9779E"/>
    <w:rsid w:val="00E97929"/>
    <w:rsid w:val="00EA095D"/>
    <w:rsid w:val="00EA0D79"/>
    <w:rsid w:val="00EA12BC"/>
    <w:rsid w:val="00EA2837"/>
    <w:rsid w:val="00EA3158"/>
    <w:rsid w:val="00EA343F"/>
    <w:rsid w:val="00EA3495"/>
    <w:rsid w:val="00EA3B06"/>
    <w:rsid w:val="00EA3C75"/>
    <w:rsid w:val="00EA3D18"/>
    <w:rsid w:val="00EA416D"/>
    <w:rsid w:val="00EA43A7"/>
    <w:rsid w:val="00EA5055"/>
    <w:rsid w:val="00EA5394"/>
    <w:rsid w:val="00EA6377"/>
    <w:rsid w:val="00EA63E6"/>
    <w:rsid w:val="00EA68F9"/>
    <w:rsid w:val="00EA6A69"/>
    <w:rsid w:val="00EA6A7D"/>
    <w:rsid w:val="00EB027D"/>
    <w:rsid w:val="00EB0D16"/>
    <w:rsid w:val="00EB0D73"/>
    <w:rsid w:val="00EB1067"/>
    <w:rsid w:val="00EB2699"/>
    <w:rsid w:val="00EB28EC"/>
    <w:rsid w:val="00EB39FD"/>
    <w:rsid w:val="00EB3BE0"/>
    <w:rsid w:val="00EB3E64"/>
    <w:rsid w:val="00EB5039"/>
    <w:rsid w:val="00EB5291"/>
    <w:rsid w:val="00EB54F0"/>
    <w:rsid w:val="00EB619C"/>
    <w:rsid w:val="00EB75AB"/>
    <w:rsid w:val="00EB7ADA"/>
    <w:rsid w:val="00EB7D35"/>
    <w:rsid w:val="00EC0EBD"/>
    <w:rsid w:val="00EC1012"/>
    <w:rsid w:val="00EC1AEE"/>
    <w:rsid w:val="00EC1D6B"/>
    <w:rsid w:val="00EC3095"/>
    <w:rsid w:val="00EC3600"/>
    <w:rsid w:val="00EC4531"/>
    <w:rsid w:val="00EC4938"/>
    <w:rsid w:val="00EC4945"/>
    <w:rsid w:val="00EC4C98"/>
    <w:rsid w:val="00EC5379"/>
    <w:rsid w:val="00EC59F5"/>
    <w:rsid w:val="00EC628A"/>
    <w:rsid w:val="00EC63FE"/>
    <w:rsid w:val="00EC6F33"/>
    <w:rsid w:val="00EC71C2"/>
    <w:rsid w:val="00EC7384"/>
    <w:rsid w:val="00EC7E88"/>
    <w:rsid w:val="00ED0295"/>
    <w:rsid w:val="00ED0C3D"/>
    <w:rsid w:val="00ED1CDA"/>
    <w:rsid w:val="00ED27CB"/>
    <w:rsid w:val="00ED37CB"/>
    <w:rsid w:val="00ED47F4"/>
    <w:rsid w:val="00ED4C99"/>
    <w:rsid w:val="00ED4DD5"/>
    <w:rsid w:val="00ED5779"/>
    <w:rsid w:val="00ED6DFC"/>
    <w:rsid w:val="00ED7024"/>
    <w:rsid w:val="00ED7CF7"/>
    <w:rsid w:val="00EE0199"/>
    <w:rsid w:val="00EE0422"/>
    <w:rsid w:val="00EE0993"/>
    <w:rsid w:val="00EE183C"/>
    <w:rsid w:val="00EE1E40"/>
    <w:rsid w:val="00EE2244"/>
    <w:rsid w:val="00EE284C"/>
    <w:rsid w:val="00EE3B3C"/>
    <w:rsid w:val="00EE3F20"/>
    <w:rsid w:val="00EE4794"/>
    <w:rsid w:val="00EE4A88"/>
    <w:rsid w:val="00EE4AD4"/>
    <w:rsid w:val="00EE5DB8"/>
    <w:rsid w:val="00EE6322"/>
    <w:rsid w:val="00EE666B"/>
    <w:rsid w:val="00EE68EF"/>
    <w:rsid w:val="00EE751A"/>
    <w:rsid w:val="00EE78D3"/>
    <w:rsid w:val="00EE7C5A"/>
    <w:rsid w:val="00EF01B7"/>
    <w:rsid w:val="00EF1184"/>
    <w:rsid w:val="00EF29B4"/>
    <w:rsid w:val="00EF31A5"/>
    <w:rsid w:val="00EF4D5D"/>
    <w:rsid w:val="00EF5188"/>
    <w:rsid w:val="00EF62CD"/>
    <w:rsid w:val="00EF7156"/>
    <w:rsid w:val="00EF7988"/>
    <w:rsid w:val="00F00B50"/>
    <w:rsid w:val="00F01201"/>
    <w:rsid w:val="00F01A03"/>
    <w:rsid w:val="00F023F0"/>
    <w:rsid w:val="00F0256C"/>
    <w:rsid w:val="00F027D5"/>
    <w:rsid w:val="00F02C38"/>
    <w:rsid w:val="00F02D23"/>
    <w:rsid w:val="00F02F0A"/>
    <w:rsid w:val="00F02FF2"/>
    <w:rsid w:val="00F030EA"/>
    <w:rsid w:val="00F0328D"/>
    <w:rsid w:val="00F03DD4"/>
    <w:rsid w:val="00F03F4C"/>
    <w:rsid w:val="00F04800"/>
    <w:rsid w:val="00F051C0"/>
    <w:rsid w:val="00F05ECC"/>
    <w:rsid w:val="00F06CDE"/>
    <w:rsid w:val="00F07300"/>
    <w:rsid w:val="00F1011A"/>
    <w:rsid w:val="00F1085B"/>
    <w:rsid w:val="00F117EF"/>
    <w:rsid w:val="00F12552"/>
    <w:rsid w:val="00F1457B"/>
    <w:rsid w:val="00F145D6"/>
    <w:rsid w:val="00F1508A"/>
    <w:rsid w:val="00F15193"/>
    <w:rsid w:val="00F174DD"/>
    <w:rsid w:val="00F20262"/>
    <w:rsid w:val="00F204D8"/>
    <w:rsid w:val="00F20890"/>
    <w:rsid w:val="00F20C00"/>
    <w:rsid w:val="00F20DC9"/>
    <w:rsid w:val="00F21DD9"/>
    <w:rsid w:val="00F2227B"/>
    <w:rsid w:val="00F22A68"/>
    <w:rsid w:val="00F22B31"/>
    <w:rsid w:val="00F23278"/>
    <w:rsid w:val="00F23763"/>
    <w:rsid w:val="00F23D50"/>
    <w:rsid w:val="00F24BAB"/>
    <w:rsid w:val="00F24F30"/>
    <w:rsid w:val="00F25904"/>
    <w:rsid w:val="00F26319"/>
    <w:rsid w:val="00F27389"/>
    <w:rsid w:val="00F27EDD"/>
    <w:rsid w:val="00F27FF0"/>
    <w:rsid w:val="00F3036C"/>
    <w:rsid w:val="00F3099E"/>
    <w:rsid w:val="00F31491"/>
    <w:rsid w:val="00F32ADC"/>
    <w:rsid w:val="00F3377B"/>
    <w:rsid w:val="00F342C3"/>
    <w:rsid w:val="00F346C4"/>
    <w:rsid w:val="00F35096"/>
    <w:rsid w:val="00F35C73"/>
    <w:rsid w:val="00F3604F"/>
    <w:rsid w:val="00F37959"/>
    <w:rsid w:val="00F402C9"/>
    <w:rsid w:val="00F40584"/>
    <w:rsid w:val="00F406C5"/>
    <w:rsid w:val="00F40C01"/>
    <w:rsid w:val="00F415DE"/>
    <w:rsid w:val="00F4173A"/>
    <w:rsid w:val="00F42508"/>
    <w:rsid w:val="00F42AE8"/>
    <w:rsid w:val="00F42BF1"/>
    <w:rsid w:val="00F430BC"/>
    <w:rsid w:val="00F4377A"/>
    <w:rsid w:val="00F44876"/>
    <w:rsid w:val="00F45125"/>
    <w:rsid w:val="00F454D6"/>
    <w:rsid w:val="00F45B0E"/>
    <w:rsid w:val="00F46F4E"/>
    <w:rsid w:val="00F47155"/>
    <w:rsid w:val="00F474C3"/>
    <w:rsid w:val="00F50015"/>
    <w:rsid w:val="00F503DE"/>
    <w:rsid w:val="00F5114A"/>
    <w:rsid w:val="00F515DB"/>
    <w:rsid w:val="00F51B9C"/>
    <w:rsid w:val="00F528D7"/>
    <w:rsid w:val="00F5343C"/>
    <w:rsid w:val="00F53B6E"/>
    <w:rsid w:val="00F541A4"/>
    <w:rsid w:val="00F5481D"/>
    <w:rsid w:val="00F554FA"/>
    <w:rsid w:val="00F55CC6"/>
    <w:rsid w:val="00F56444"/>
    <w:rsid w:val="00F56A4B"/>
    <w:rsid w:val="00F60DFF"/>
    <w:rsid w:val="00F620E9"/>
    <w:rsid w:val="00F622EA"/>
    <w:rsid w:val="00F62509"/>
    <w:rsid w:val="00F633EB"/>
    <w:rsid w:val="00F64BB5"/>
    <w:rsid w:val="00F64F30"/>
    <w:rsid w:val="00F65283"/>
    <w:rsid w:val="00F6561C"/>
    <w:rsid w:val="00F657EC"/>
    <w:rsid w:val="00F66602"/>
    <w:rsid w:val="00F673F2"/>
    <w:rsid w:val="00F679BA"/>
    <w:rsid w:val="00F7045A"/>
    <w:rsid w:val="00F707EE"/>
    <w:rsid w:val="00F70994"/>
    <w:rsid w:val="00F70D26"/>
    <w:rsid w:val="00F70EA5"/>
    <w:rsid w:val="00F717BE"/>
    <w:rsid w:val="00F71A34"/>
    <w:rsid w:val="00F71A80"/>
    <w:rsid w:val="00F71CAC"/>
    <w:rsid w:val="00F71D34"/>
    <w:rsid w:val="00F72641"/>
    <w:rsid w:val="00F73512"/>
    <w:rsid w:val="00F73541"/>
    <w:rsid w:val="00F73C71"/>
    <w:rsid w:val="00F746D5"/>
    <w:rsid w:val="00F7472C"/>
    <w:rsid w:val="00F75A9D"/>
    <w:rsid w:val="00F75CA7"/>
    <w:rsid w:val="00F77496"/>
    <w:rsid w:val="00F776B0"/>
    <w:rsid w:val="00F8065D"/>
    <w:rsid w:val="00F81620"/>
    <w:rsid w:val="00F81C11"/>
    <w:rsid w:val="00F81F22"/>
    <w:rsid w:val="00F82B44"/>
    <w:rsid w:val="00F82D5D"/>
    <w:rsid w:val="00F84396"/>
    <w:rsid w:val="00F846F8"/>
    <w:rsid w:val="00F84931"/>
    <w:rsid w:val="00F84ABF"/>
    <w:rsid w:val="00F85A24"/>
    <w:rsid w:val="00F862B8"/>
    <w:rsid w:val="00F86BA6"/>
    <w:rsid w:val="00F86C8C"/>
    <w:rsid w:val="00F86DFA"/>
    <w:rsid w:val="00F870AE"/>
    <w:rsid w:val="00F875A9"/>
    <w:rsid w:val="00F9080B"/>
    <w:rsid w:val="00F90993"/>
    <w:rsid w:val="00F90ADE"/>
    <w:rsid w:val="00F93329"/>
    <w:rsid w:val="00F93BBA"/>
    <w:rsid w:val="00F93F3F"/>
    <w:rsid w:val="00F940B0"/>
    <w:rsid w:val="00F94CA0"/>
    <w:rsid w:val="00F9595E"/>
    <w:rsid w:val="00F95AA4"/>
    <w:rsid w:val="00F95F80"/>
    <w:rsid w:val="00F96E44"/>
    <w:rsid w:val="00F96FDE"/>
    <w:rsid w:val="00F9748B"/>
    <w:rsid w:val="00FA0997"/>
    <w:rsid w:val="00FA3267"/>
    <w:rsid w:val="00FA382D"/>
    <w:rsid w:val="00FA3FA3"/>
    <w:rsid w:val="00FA4A68"/>
    <w:rsid w:val="00FA4B0B"/>
    <w:rsid w:val="00FA52F7"/>
    <w:rsid w:val="00FA58B6"/>
    <w:rsid w:val="00FA5949"/>
    <w:rsid w:val="00FA5E56"/>
    <w:rsid w:val="00FA600B"/>
    <w:rsid w:val="00FA7109"/>
    <w:rsid w:val="00FB0223"/>
    <w:rsid w:val="00FB06DA"/>
    <w:rsid w:val="00FB0F30"/>
    <w:rsid w:val="00FB20D2"/>
    <w:rsid w:val="00FB369E"/>
    <w:rsid w:val="00FB3ECF"/>
    <w:rsid w:val="00FB5915"/>
    <w:rsid w:val="00FB63FF"/>
    <w:rsid w:val="00FB723C"/>
    <w:rsid w:val="00FB79D5"/>
    <w:rsid w:val="00FC0036"/>
    <w:rsid w:val="00FC1753"/>
    <w:rsid w:val="00FC1A1A"/>
    <w:rsid w:val="00FC1D66"/>
    <w:rsid w:val="00FC1D76"/>
    <w:rsid w:val="00FC35D9"/>
    <w:rsid w:val="00FC39B2"/>
    <w:rsid w:val="00FC3B6B"/>
    <w:rsid w:val="00FC4C0E"/>
    <w:rsid w:val="00FC584C"/>
    <w:rsid w:val="00FC7821"/>
    <w:rsid w:val="00FD01C5"/>
    <w:rsid w:val="00FD0305"/>
    <w:rsid w:val="00FD0639"/>
    <w:rsid w:val="00FD0FF7"/>
    <w:rsid w:val="00FD10C0"/>
    <w:rsid w:val="00FD14C2"/>
    <w:rsid w:val="00FD1505"/>
    <w:rsid w:val="00FD2184"/>
    <w:rsid w:val="00FD233B"/>
    <w:rsid w:val="00FD275A"/>
    <w:rsid w:val="00FD2DD4"/>
    <w:rsid w:val="00FD3061"/>
    <w:rsid w:val="00FD32EE"/>
    <w:rsid w:val="00FD3A44"/>
    <w:rsid w:val="00FD4A87"/>
    <w:rsid w:val="00FD5FA8"/>
    <w:rsid w:val="00FD6AEA"/>
    <w:rsid w:val="00FD730A"/>
    <w:rsid w:val="00FD76F3"/>
    <w:rsid w:val="00FD7CC0"/>
    <w:rsid w:val="00FE0060"/>
    <w:rsid w:val="00FE09DB"/>
    <w:rsid w:val="00FE0D1B"/>
    <w:rsid w:val="00FE23BB"/>
    <w:rsid w:val="00FE2C4E"/>
    <w:rsid w:val="00FE3B95"/>
    <w:rsid w:val="00FE4801"/>
    <w:rsid w:val="00FE4DB5"/>
    <w:rsid w:val="00FE4DB8"/>
    <w:rsid w:val="00FE57D3"/>
    <w:rsid w:val="00FE61CB"/>
    <w:rsid w:val="00FE62AD"/>
    <w:rsid w:val="00FE6814"/>
    <w:rsid w:val="00FE695F"/>
    <w:rsid w:val="00FE6E51"/>
    <w:rsid w:val="00FE751B"/>
    <w:rsid w:val="00FE76C0"/>
    <w:rsid w:val="00FE7D4B"/>
    <w:rsid w:val="00FE7D56"/>
    <w:rsid w:val="00FF00DF"/>
    <w:rsid w:val="00FF036C"/>
    <w:rsid w:val="00FF0A32"/>
    <w:rsid w:val="00FF1940"/>
    <w:rsid w:val="00FF23DA"/>
    <w:rsid w:val="00FF2D3C"/>
    <w:rsid w:val="00FF392B"/>
    <w:rsid w:val="00FF4ED9"/>
    <w:rsid w:val="00FF5351"/>
    <w:rsid w:val="00FF577D"/>
    <w:rsid w:val="00FF5841"/>
    <w:rsid w:val="00FF5878"/>
    <w:rsid w:val="00FF6192"/>
    <w:rsid w:val="00FF7B77"/>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43DD"/>
  <w15:docId w15:val="{877715D8-B217-42C2-B92E-24DAD5D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18"/>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
    <w:qFormat/>
    <w:rsid w:val="00E62618"/>
    <w:pPr>
      <w:keepNext/>
      <w:keepLines/>
      <w:numPr>
        <w:numId w:val="1"/>
      </w:numPr>
      <w:spacing w:before="480"/>
      <w:outlineLvl w:val="0"/>
    </w:pPr>
    <w:rPr>
      <w:b/>
      <w:bCs/>
      <w:szCs w:val="28"/>
    </w:rPr>
  </w:style>
  <w:style w:type="paragraph" w:styleId="Heading2">
    <w:name w:val="heading 2"/>
    <w:basedOn w:val="Normal"/>
    <w:next w:val="Normal"/>
    <w:link w:val="Heading2Char"/>
    <w:uiPriority w:val="9"/>
    <w:unhideWhenUsed/>
    <w:qFormat/>
    <w:rsid w:val="00E62618"/>
    <w:pPr>
      <w:keepNext/>
      <w:keepLines/>
      <w:numPr>
        <w:ilvl w:val="1"/>
        <w:numId w:val="1"/>
      </w:numPr>
      <w:spacing w:before="200"/>
      <w:ind w:left="718"/>
      <w:outlineLvl w:val="1"/>
    </w:pPr>
    <w:rPr>
      <w:b/>
      <w:bCs/>
      <w:color w:val="000000"/>
      <w:szCs w:val="26"/>
    </w:rPr>
  </w:style>
  <w:style w:type="paragraph" w:styleId="Heading3">
    <w:name w:val="heading 3"/>
    <w:basedOn w:val="Normal"/>
    <w:next w:val="Normal"/>
    <w:link w:val="Heading3Char"/>
    <w:uiPriority w:val="9"/>
    <w:unhideWhenUsed/>
    <w:qFormat/>
    <w:rsid w:val="00E62618"/>
    <w:pPr>
      <w:keepNext/>
      <w:keepLines/>
      <w:numPr>
        <w:ilvl w:val="2"/>
        <w:numId w:val="1"/>
      </w:numPr>
      <w:spacing w:before="40"/>
      <w:outlineLvl w:val="2"/>
    </w:pPr>
    <w:rPr>
      <w:b/>
    </w:rPr>
  </w:style>
  <w:style w:type="paragraph" w:styleId="Heading4">
    <w:name w:val="heading 4"/>
    <w:basedOn w:val="Normal"/>
    <w:next w:val="Normal"/>
    <w:link w:val="Heading4Char"/>
    <w:uiPriority w:val="9"/>
    <w:unhideWhenUsed/>
    <w:qFormat/>
    <w:rsid w:val="000B56B2"/>
    <w:pPr>
      <w:keepNext/>
      <w:keepLines/>
      <w:numPr>
        <w:ilvl w:val="3"/>
        <w:numId w:val="1"/>
      </w:numPr>
      <w:spacing w:before="40"/>
      <w:outlineLvl w:val="3"/>
    </w:pPr>
    <w:rPr>
      <w:b/>
      <w:i/>
      <w:iCs/>
      <w:color w:val="000000"/>
      <w:sz w:val="20"/>
    </w:rPr>
  </w:style>
  <w:style w:type="paragraph" w:styleId="Heading5">
    <w:name w:val="heading 5"/>
    <w:basedOn w:val="Normal"/>
    <w:next w:val="Normal"/>
    <w:link w:val="Heading5Char"/>
    <w:uiPriority w:val="9"/>
    <w:semiHidden/>
    <w:unhideWhenUsed/>
    <w:qFormat/>
    <w:rsid w:val="00E62618"/>
    <w:pPr>
      <w:keepNext/>
      <w:keepLines/>
      <w:numPr>
        <w:ilvl w:val="4"/>
        <w:numId w:val="1"/>
      </w:numPr>
      <w:spacing w:before="40"/>
      <w:outlineLvl w:val="4"/>
    </w:pPr>
    <w:rPr>
      <w:rFonts w:ascii="Calibri Light" w:hAnsi="Calibri Light"/>
      <w:color w:val="9D3511"/>
    </w:rPr>
  </w:style>
  <w:style w:type="paragraph" w:styleId="Heading6">
    <w:name w:val="heading 6"/>
    <w:basedOn w:val="Normal"/>
    <w:next w:val="Normal"/>
    <w:link w:val="Heading6Char"/>
    <w:uiPriority w:val="9"/>
    <w:semiHidden/>
    <w:unhideWhenUsed/>
    <w:qFormat/>
    <w:rsid w:val="00E62618"/>
    <w:pPr>
      <w:keepNext/>
      <w:keepLines/>
      <w:numPr>
        <w:ilvl w:val="5"/>
        <w:numId w:val="1"/>
      </w:numPr>
      <w:spacing w:before="40"/>
      <w:outlineLvl w:val="5"/>
    </w:pPr>
    <w:rPr>
      <w:rFonts w:ascii="Calibri Light" w:hAnsi="Calibri Light"/>
      <w:color w:val="68230B"/>
    </w:rPr>
  </w:style>
  <w:style w:type="paragraph" w:styleId="Heading7">
    <w:name w:val="heading 7"/>
    <w:basedOn w:val="Normal"/>
    <w:next w:val="Normal"/>
    <w:link w:val="Heading7Char"/>
    <w:uiPriority w:val="9"/>
    <w:semiHidden/>
    <w:unhideWhenUsed/>
    <w:qFormat/>
    <w:rsid w:val="00E62618"/>
    <w:pPr>
      <w:keepNext/>
      <w:keepLines/>
      <w:numPr>
        <w:ilvl w:val="6"/>
        <w:numId w:val="1"/>
      </w:numPr>
      <w:spacing w:before="40"/>
      <w:outlineLvl w:val="6"/>
    </w:pPr>
    <w:rPr>
      <w:rFonts w:ascii="Calibri Light" w:hAnsi="Calibri Light"/>
      <w:i/>
      <w:iCs/>
      <w:color w:val="68230B"/>
    </w:rPr>
  </w:style>
  <w:style w:type="paragraph" w:styleId="Heading8">
    <w:name w:val="heading 8"/>
    <w:basedOn w:val="Normal"/>
    <w:next w:val="Normal"/>
    <w:link w:val="Heading8Char"/>
    <w:uiPriority w:val="9"/>
    <w:semiHidden/>
    <w:unhideWhenUsed/>
    <w:qFormat/>
    <w:rsid w:val="00E62618"/>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E62618"/>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2618"/>
    <w:rPr>
      <w:rFonts w:ascii="Times New Roman" w:eastAsia="Times New Roman" w:hAnsi="Times New Roman"/>
      <w:b/>
      <w:bCs/>
      <w:sz w:val="24"/>
      <w:szCs w:val="28"/>
      <w:lang w:val="hr-HR" w:eastAsia="hr-HR"/>
    </w:rPr>
  </w:style>
  <w:style w:type="character" w:customStyle="1" w:styleId="Heading2Char">
    <w:name w:val="Heading 2 Char"/>
    <w:link w:val="Heading2"/>
    <w:uiPriority w:val="9"/>
    <w:rsid w:val="00E62618"/>
    <w:rPr>
      <w:rFonts w:ascii="Times New Roman" w:eastAsia="Times New Roman" w:hAnsi="Times New Roman"/>
      <w:b/>
      <w:bCs/>
      <w:color w:val="000000"/>
      <w:sz w:val="24"/>
      <w:szCs w:val="26"/>
      <w:lang w:val="hr-HR" w:eastAsia="hr-HR"/>
    </w:rPr>
  </w:style>
  <w:style w:type="character" w:customStyle="1" w:styleId="Heading3Char">
    <w:name w:val="Heading 3 Char"/>
    <w:link w:val="Heading3"/>
    <w:uiPriority w:val="9"/>
    <w:rsid w:val="00E62618"/>
    <w:rPr>
      <w:rFonts w:ascii="Times New Roman" w:eastAsia="Times New Roman" w:hAnsi="Times New Roman"/>
      <w:b/>
      <w:sz w:val="24"/>
      <w:szCs w:val="24"/>
      <w:lang w:val="hr-HR" w:eastAsia="hr-HR"/>
    </w:rPr>
  </w:style>
  <w:style w:type="character" w:customStyle="1" w:styleId="Heading4Char">
    <w:name w:val="Heading 4 Char"/>
    <w:link w:val="Heading4"/>
    <w:uiPriority w:val="9"/>
    <w:rsid w:val="000B56B2"/>
    <w:rPr>
      <w:rFonts w:ascii="Times New Roman" w:eastAsia="Times New Roman" w:hAnsi="Times New Roman"/>
      <w:b/>
      <w:i/>
      <w:iCs/>
      <w:color w:val="000000"/>
      <w:szCs w:val="24"/>
      <w:lang w:val="hr-HR" w:eastAsia="hr-HR"/>
    </w:rPr>
  </w:style>
  <w:style w:type="character" w:customStyle="1" w:styleId="Heading5Char">
    <w:name w:val="Heading 5 Char"/>
    <w:link w:val="Heading5"/>
    <w:uiPriority w:val="9"/>
    <w:semiHidden/>
    <w:rsid w:val="00E62618"/>
    <w:rPr>
      <w:rFonts w:ascii="Calibri Light" w:eastAsia="Times New Roman" w:hAnsi="Calibri Light"/>
      <w:color w:val="9D3511"/>
      <w:sz w:val="24"/>
      <w:szCs w:val="24"/>
      <w:lang w:val="hr-HR" w:eastAsia="hr-HR"/>
    </w:rPr>
  </w:style>
  <w:style w:type="character" w:customStyle="1" w:styleId="Heading6Char">
    <w:name w:val="Heading 6 Char"/>
    <w:link w:val="Heading6"/>
    <w:uiPriority w:val="9"/>
    <w:semiHidden/>
    <w:rsid w:val="00E62618"/>
    <w:rPr>
      <w:rFonts w:ascii="Calibri Light" w:eastAsia="Times New Roman" w:hAnsi="Calibri Light"/>
      <w:color w:val="68230B"/>
      <w:sz w:val="24"/>
      <w:szCs w:val="24"/>
      <w:lang w:val="hr-HR" w:eastAsia="hr-HR"/>
    </w:rPr>
  </w:style>
  <w:style w:type="character" w:customStyle="1" w:styleId="Heading7Char">
    <w:name w:val="Heading 7 Char"/>
    <w:link w:val="Heading7"/>
    <w:uiPriority w:val="9"/>
    <w:semiHidden/>
    <w:rsid w:val="00E62618"/>
    <w:rPr>
      <w:rFonts w:ascii="Calibri Light" w:eastAsia="Times New Roman" w:hAnsi="Calibri Light"/>
      <w:i/>
      <w:iCs/>
      <w:color w:val="68230B"/>
      <w:sz w:val="24"/>
      <w:szCs w:val="24"/>
      <w:lang w:val="hr-HR" w:eastAsia="hr-HR"/>
    </w:rPr>
  </w:style>
  <w:style w:type="character" w:customStyle="1" w:styleId="Heading8Char">
    <w:name w:val="Heading 8 Char"/>
    <w:link w:val="Heading8"/>
    <w:uiPriority w:val="9"/>
    <w:semiHidden/>
    <w:rsid w:val="00E62618"/>
    <w:rPr>
      <w:rFonts w:ascii="Calibri Light" w:eastAsia="Times New Roman" w:hAnsi="Calibri Light"/>
      <w:color w:val="272727"/>
      <w:sz w:val="21"/>
      <w:szCs w:val="21"/>
      <w:lang w:val="hr-HR" w:eastAsia="hr-HR"/>
    </w:rPr>
  </w:style>
  <w:style w:type="character" w:customStyle="1" w:styleId="Heading9Char">
    <w:name w:val="Heading 9 Char"/>
    <w:link w:val="Heading9"/>
    <w:uiPriority w:val="9"/>
    <w:semiHidden/>
    <w:rsid w:val="00E62618"/>
    <w:rPr>
      <w:rFonts w:ascii="Calibri Light" w:eastAsia="Times New Roman" w:hAnsi="Calibri Light"/>
      <w:i/>
      <w:iCs/>
      <w:color w:val="272727"/>
      <w:sz w:val="21"/>
      <w:szCs w:val="21"/>
      <w:lang w:val="hr-HR" w:eastAsia="hr-HR"/>
    </w:rPr>
  </w:style>
  <w:style w:type="character" w:styleId="Hyperlink">
    <w:name w:val="Hyperlink"/>
    <w:uiPriority w:val="99"/>
    <w:unhideWhenUsed/>
    <w:rsid w:val="00E62618"/>
    <w:rPr>
      <w:color w:val="0000FF"/>
      <w:u w:val="single"/>
    </w:rPr>
  </w:style>
  <w:style w:type="character" w:styleId="FollowedHyperlink">
    <w:name w:val="FollowedHyperlink"/>
    <w:uiPriority w:val="99"/>
    <w:semiHidden/>
    <w:unhideWhenUsed/>
    <w:rsid w:val="00E62618"/>
    <w:rPr>
      <w:color w:val="96A9A9"/>
      <w:u w:val="single"/>
    </w:rPr>
  </w:style>
  <w:style w:type="paragraph" w:customStyle="1" w:styleId="msonormal0">
    <w:name w:val="msonormal"/>
    <w:basedOn w:val="Normal"/>
    <w:rsid w:val="00E62618"/>
    <w:pPr>
      <w:spacing w:before="100" w:beforeAutospacing="1" w:after="100" w:afterAutospacing="1"/>
    </w:pPr>
    <w:rPr>
      <w:lang w:val="en-US" w:eastAsia="en-US"/>
    </w:rPr>
  </w:style>
  <w:style w:type="paragraph" w:styleId="NormalWeb">
    <w:name w:val="Normal (Web)"/>
    <w:basedOn w:val="Normal"/>
    <w:unhideWhenUsed/>
    <w:rsid w:val="00E62618"/>
    <w:pPr>
      <w:spacing w:before="100" w:beforeAutospacing="1" w:after="100" w:afterAutospacing="1"/>
    </w:pPr>
    <w:rPr>
      <w:lang w:val="en-US" w:eastAsia="en-US"/>
    </w:rPr>
  </w:style>
  <w:style w:type="paragraph" w:styleId="TOC1">
    <w:name w:val="toc 1"/>
    <w:basedOn w:val="Normal"/>
    <w:next w:val="Normal"/>
    <w:autoRedefine/>
    <w:uiPriority w:val="39"/>
    <w:unhideWhenUsed/>
    <w:rsid w:val="00FE6814"/>
    <w:pPr>
      <w:tabs>
        <w:tab w:val="left" w:pos="284"/>
        <w:tab w:val="right" w:leader="dot" w:pos="9780"/>
      </w:tabs>
      <w:spacing w:after="100" w:line="256" w:lineRule="auto"/>
      <w:jc w:val="center"/>
    </w:pPr>
    <w:rPr>
      <w:rFonts w:eastAsia="Calibri"/>
      <w:noProof/>
      <w:szCs w:val="22"/>
      <w:lang w:val="sr-Latn-RS" w:eastAsia="en-US"/>
    </w:rPr>
  </w:style>
  <w:style w:type="paragraph" w:styleId="TOC2">
    <w:name w:val="toc 2"/>
    <w:basedOn w:val="Normal"/>
    <w:next w:val="Normal"/>
    <w:autoRedefine/>
    <w:uiPriority w:val="39"/>
    <w:unhideWhenUsed/>
    <w:rsid w:val="009F2ACC"/>
    <w:pPr>
      <w:tabs>
        <w:tab w:val="left" w:pos="709"/>
        <w:tab w:val="right" w:leader="dot" w:pos="9780"/>
      </w:tabs>
      <w:spacing w:after="100"/>
      <w:ind w:left="240"/>
      <w:jc w:val="center"/>
    </w:pPr>
  </w:style>
  <w:style w:type="paragraph" w:styleId="TOC3">
    <w:name w:val="toc 3"/>
    <w:basedOn w:val="Normal"/>
    <w:next w:val="Normal"/>
    <w:autoRedefine/>
    <w:uiPriority w:val="39"/>
    <w:unhideWhenUsed/>
    <w:rsid w:val="004242B8"/>
    <w:pPr>
      <w:tabs>
        <w:tab w:val="left" w:pos="1134"/>
        <w:tab w:val="right" w:leader="dot" w:pos="9070"/>
      </w:tabs>
      <w:spacing w:after="100"/>
      <w:ind w:left="480"/>
    </w:pPr>
  </w:style>
  <w:style w:type="paragraph" w:styleId="FootnoteText">
    <w:name w:val="footnote text"/>
    <w:basedOn w:val="Normal"/>
    <w:link w:val="FootnoteTextChar"/>
    <w:uiPriority w:val="99"/>
    <w:unhideWhenUsed/>
    <w:rsid w:val="00E62618"/>
    <w:rPr>
      <w:sz w:val="20"/>
      <w:szCs w:val="20"/>
    </w:rPr>
  </w:style>
  <w:style w:type="character" w:customStyle="1" w:styleId="FootnoteTextChar">
    <w:name w:val="Footnote Text Char"/>
    <w:link w:val="FootnoteText"/>
    <w:rsid w:val="00E62618"/>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uiPriority w:val="99"/>
    <w:unhideWhenUsed/>
    <w:rsid w:val="00E62618"/>
    <w:rPr>
      <w:sz w:val="20"/>
      <w:szCs w:val="20"/>
    </w:rPr>
  </w:style>
  <w:style w:type="character" w:customStyle="1" w:styleId="CommentTextChar">
    <w:name w:val="Comment Text Char"/>
    <w:link w:val="CommentText"/>
    <w:uiPriority w:val="99"/>
    <w:rsid w:val="00E62618"/>
    <w:rPr>
      <w:rFonts w:ascii="Times New Roman" w:eastAsia="Times New Roman" w:hAnsi="Times New Roman" w:cs="Times New Roman"/>
      <w:sz w:val="20"/>
      <w:szCs w:val="20"/>
      <w:lang w:val="hr-HR" w:eastAsia="hr-HR"/>
    </w:rPr>
  </w:style>
  <w:style w:type="paragraph" w:styleId="Header">
    <w:name w:val="header"/>
    <w:basedOn w:val="Normal"/>
    <w:link w:val="HeaderChar"/>
    <w:uiPriority w:val="99"/>
    <w:unhideWhenUsed/>
    <w:rsid w:val="00E62618"/>
    <w:pPr>
      <w:tabs>
        <w:tab w:val="center" w:pos="4703"/>
        <w:tab w:val="right" w:pos="9406"/>
      </w:tabs>
    </w:pPr>
  </w:style>
  <w:style w:type="character" w:customStyle="1" w:styleId="HeaderChar">
    <w:name w:val="Header Char"/>
    <w:link w:val="Header"/>
    <w:uiPriority w:val="99"/>
    <w:rsid w:val="00E6261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E62618"/>
    <w:pPr>
      <w:tabs>
        <w:tab w:val="center" w:pos="4320"/>
        <w:tab w:val="right" w:pos="8640"/>
      </w:tabs>
    </w:pPr>
    <w:rPr>
      <w:szCs w:val="20"/>
    </w:rPr>
  </w:style>
  <w:style w:type="character" w:customStyle="1" w:styleId="FooterChar">
    <w:name w:val="Footer Char"/>
    <w:link w:val="Footer"/>
    <w:uiPriority w:val="99"/>
    <w:rsid w:val="00E62618"/>
    <w:rPr>
      <w:rFonts w:ascii="Times New Roman" w:eastAsia="Times New Roman" w:hAnsi="Times New Roman" w:cs="Times New Roman"/>
      <w:sz w:val="24"/>
      <w:szCs w:val="20"/>
      <w:lang w:val="hr-HR" w:eastAsia="hr-HR"/>
    </w:rPr>
  </w:style>
  <w:style w:type="paragraph" w:styleId="List">
    <w:name w:val="List"/>
    <w:basedOn w:val="Normal"/>
    <w:uiPriority w:val="99"/>
    <w:semiHidden/>
    <w:unhideWhenUsed/>
    <w:rsid w:val="00E62618"/>
    <w:pPr>
      <w:ind w:left="283" w:hanging="283"/>
      <w:contextualSpacing/>
    </w:pPr>
  </w:style>
  <w:style w:type="paragraph" w:styleId="ListNumber">
    <w:name w:val="List Number"/>
    <w:basedOn w:val="Normal"/>
    <w:uiPriority w:val="99"/>
    <w:semiHidden/>
    <w:unhideWhenUsed/>
    <w:rsid w:val="00E62618"/>
    <w:pPr>
      <w:numPr>
        <w:numId w:val="2"/>
      </w:numPr>
      <w:contextualSpacing/>
    </w:pPr>
  </w:style>
  <w:style w:type="paragraph" w:styleId="BodyText">
    <w:name w:val="Body Text"/>
    <w:basedOn w:val="Normal"/>
    <w:link w:val="BodyTextChar"/>
    <w:unhideWhenUsed/>
    <w:rsid w:val="00E62618"/>
    <w:pPr>
      <w:spacing w:after="120"/>
    </w:pPr>
  </w:style>
  <w:style w:type="character" w:customStyle="1" w:styleId="BodyTextChar">
    <w:name w:val="Body Text Char"/>
    <w:link w:val="BodyText"/>
    <w:rsid w:val="00E62618"/>
    <w:rPr>
      <w:rFonts w:ascii="Times New Roman" w:eastAsia="Times New Roman" w:hAnsi="Times New Roman" w:cs="Times New Roman"/>
      <w:sz w:val="24"/>
      <w:szCs w:val="24"/>
      <w:lang w:val="hr-HR" w:eastAsia="hr-HR"/>
    </w:rPr>
  </w:style>
  <w:style w:type="paragraph" w:styleId="BodyText2">
    <w:name w:val="Body Text 2"/>
    <w:basedOn w:val="Normal"/>
    <w:link w:val="BodyText2Char"/>
    <w:semiHidden/>
    <w:unhideWhenUsed/>
    <w:rsid w:val="00E62618"/>
    <w:pPr>
      <w:ind w:right="382"/>
    </w:pPr>
    <w:rPr>
      <w:lang w:eastAsia="x-none"/>
    </w:rPr>
  </w:style>
  <w:style w:type="character" w:customStyle="1" w:styleId="BodyText2Char">
    <w:name w:val="Body Text 2 Char"/>
    <w:link w:val="BodyText2"/>
    <w:semiHidden/>
    <w:rsid w:val="00E62618"/>
    <w:rPr>
      <w:rFonts w:ascii="Times New Roman" w:eastAsia="Times New Roman" w:hAnsi="Times New Roman" w:cs="Times New Roman"/>
      <w:sz w:val="24"/>
      <w:szCs w:val="24"/>
      <w:lang w:val="hr-HR"/>
    </w:rPr>
  </w:style>
  <w:style w:type="paragraph" w:styleId="PlainText">
    <w:name w:val="Plain Text"/>
    <w:basedOn w:val="Normal"/>
    <w:link w:val="PlainTextChar"/>
    <w:uiPriority w:val="99"/>
    <w:semiHidden/>
    <w:unhideWhenUsed/>
    <w:rsid w:val="00E62618"/>
    <w:rPr>
      <w:rFonts w:ascii="Consolas" w:eastAsia="Calibri" w:hAnsi="Consolas"/>
      <w:sz w:val="21"/>
      <w:szCs w:val="21"/>
    </w:rPr>
  </w:style>
  <w:style w:type="character" w:customStyle="1" w:styleId="PlainTextChar">
    <w:name w:val="Plain Text Char"/>
    <w:link w:val="PlainText"/>
    <w:uiPriority w:val="99"/>
    <w:semiHidden/>
    <w:rsid w:val="00E62618"/>
    <w:rPr>
      <w:rFonts w:ascii="Consolas" w:eastAsia="Calibri" w:hAnsi="Consolas" w:cs="Times New Roman"/>
      <w:sz w:val="21"/>
      <w:szCs w:val="21"/>
      <w:lang w:val="hr-HR" w:eastAsia="hr-HR"/>
    </w:rPr>
  </w:style>
  <w:style w:type="paragraph" w:styleId="BalloonText">
    <w:name w:val="Balloon Text"/>
    <w:basedOn w:val="Normal"/>
    <w:link w:val="BalloonTextChar"/>
    <w:uiPriority w:val="99"/>
    <w:semiHidden/>
    <w:unhideWhenUsed/>
    <w:rsid w:val="00E62618"/>
    <w:rPr>
      <w:sz w:val="16"/>
      <w:szCs w:val="16"/>
    </w:rPr>
  </w:style>
  <w:style w:type="character" w:customStyle="1" w:styleId="BalloonTextChar">
    <w:name w:val="Balloon Text Char"/>
    <w:link w:val="BalloonText"/>
    <w:uiPriority w:val="99"/>
    <w:semiHidden/>
    <w:rsid w:val="00E62618"/>
    <w:rPr>
      <w:rFonts w:ascii="Times New Roman" w:eastAsia="Times New Roman" w:hAnsi="Times New Roman" w:cs="Tahoma"/>
      <w:sz w:val="16"/>
      <w:szCs w:val="16"/>
      <w:lang w:val="hr-HR" w:eastAsia="hr-HR"/>
    </w:rPr>
  </w:style>
  <w:style w:type="paragraph" w:styleId="NoSpacing">
    <w:name w:val="No Spacing"/>
    <w:link w:val="NoSpacingChar"/>
    <w:qFormat/>
    <w:rsid w:val="00E62618"/>
    <w:rPr>
      <w:lang w:eastAsia="en-GB"/>
    </w:rPr>
  </w:style>
  <w:style w:type="character" w:customStyle="1" w:styleId="ListParagraphChar">
    <w:name w:val="List Paragraph Char"/>
    <w:link w:val="ListParagraph"/>
    <w:uiPriority w:val="34"/>
    <w:locked/>
    <w:rsid w:val="00E62618"/>
    <w:rPr>
      <w:rFonts w:ascii="Times New Roman" w:eastAsia="Times New Roman" w:hAnsi="Times New Roman" w:cs="Times New Roman"/>
      <w:sz w:val="24"/>
      <w:szCs w:val="24"/>
      <w:lang w:val="hr-HR" w:eastAsia="hr-HR"/>
    </w:rPr>
  </w:style>
  <w:style w:type="paragraph" w:styleId="ListParagraph">
    <w:name w:val="List Paragraph"/>
    <w:basedOn w:val="Normal"/>
    <w:link w:val="ListParagraphChar"/>
    <w:uiPriority w:val="34"/>
    <w:qFormat/>
    <w:rsid w:val="00E62618"/>
    <w:pPr>
      <w:ind w:left="720"/>
      <w:contextualSpacing/>
    </w:pPr>
  </w:style>
  <w:style w:type="paragraph" w:styleId="TOCHeading">
    <w:name w:val="TOC Heading"/>
    <w:basedOn w:val="Heading1"/>
    <w:next w:val="Normal"/>
    <w:uiPriority w:val="39"/>
    <w:unhideWhenUsed/>
    <w:qFormat/>
    <w:rsid w:val="00E62618"/>
    <w:pPr>
      <w:spacing w:before="240" w:line="256" w:lineRule="auto"/>
      <w:outlineLvl w:val="9"/>
    </w:pPr>
    <w:rPr>
      <w:b w:val="0"/>
      <w:bCs w:val="0"/>
      <w:sz w:val="32"/>
      <w:szCs w:val="32"/>
      <w:lang w:val="en-US" w:eastAsia="en-US"/>
    </w:rPr>
  </w:style>
  <w:style w:type="paragraph" w:customStyle="1" w:styleId="Texte">
    <w:name w:val="Texte"/>
    <w:basedOn w:val="Normal"/>
    <w:rsid w:val="00E62618"/>
    <w:pPr>
      <w:widowControl w:val="0"/>
      <w:autoSpaceDE w:val="0"/>
      <w:autoSpaceDN w:val="0"/>
      <w:adjustRightInd w:val="0"/>
    </w:pPr>
    <w:rPr>
      <w:rFonts w:ascii="Helvetica" w:hAnsi="Helvetica" w:cs="Helvetica"/>
      <w:sz w:val="20"/>
      <w:szCs w:val="23"/>
      <w:lang w:val="fr-FR" w:eastAsia="fr-FR" w:bidi="fr-FR"/>
    </w:rPr>
  </w:style>
  <w:style w:type="paragraph" w:customStyle="1" w:styleId="Default">
    <w:name w:val="Default"/>
    <w:rsid w:val="00E62618"/>
    <w:pPr>
      <w:widowControl w:val="0"/>
      <w:autoSpaceDE w:val="0"/>
      <w:autoSpaceDN w:val="0"/>
      <w:adjustRightInd w:val="0"/>
    </w:pPr>
    <w:rPr>
      <w:rFonts w:ascii="OKJGF D+ TT E 19 F 73 F 8t 00" w:eastAsia="Times New Roman" w:hAnsi="OKJGF D+ TT E 19 F 73 F 8t 00" w:cs="OKJGF D+ TT E 19 F 73 F 8t 00"/>
      <w:color w:val="000000"/>
      <w:sz w:val="24"/>
      <w:szCs w:val="24"/>
    </w:rPr>
  </w:style>
  <w:style w:type="paragraph" w:customStyle="1" w:styleId="CM15">
    <w:name w:val="CM15"/>
    <w:basedOn w:val="Default"/>
    <w:next w:val="Default"/>
    <w:rsid w:val="00E62618"/>
    <w:pPr>
      <w:spacing w:after="248"/>
    </w:pPr>
    <w:rPr>
      <w:color w:val="auto"/>
    </w:rPr>
  </w:style>
  <w:style w:type="paragraph" w:customStyle="1" w:styleId="CM9">
    <w:name w:val="CM9"/>
    <w:basedOn w:val="Default"/>
    <w:next w:val="Default"/>
    <w:rsid w:val="00E62618"/>
    <w:pPr>
      <w:spacing w:line="253" w:lineRule="atLeast"/>
    </w:pPr>
    <w:rPr>
      <w:color w:val="auto"/>
    </w:rPr>
  </w:style>
  <w:style w:type="character" w:customStyle="1" w:styleId="NabrajanjeChar">
    <w:name w:val="Nabrajanje Char"/>
    <w:link w:val="Nabrajanje"/>
    <w:locked/>
    <w:rsid w:val="00E62618"/>
    <w:rPr>
      <w:rFonts w:ascii="Times New Roman" w:eastAsia="Times New Roman" w:hAnsi="Times New Roman" w:cs="Times New Roman"/>
      <w:sz w:val="24"/>
      <w:szCs w:val="24"/>
      <w:lang w:val="hr-HR" w:eastAsia="hr-HR"/>
    </w:rPr>
  </w:style>
  <w:style w:type="paragraph" w:customStyle="1" w:styleId="Nabrajanje">
    <w:name w:val="Nabrajanje"/>
    <w:basedOn w:val="List"/>
    <w:next w:val="ListNumber"/>
    <w:link w:val="NabrajanjeChar"/>
    <w:qFormat/>
    <w:rsid w:val="00E62618"/>
    <w:pPr>
      <w:ind w:left="1080"/>
      <w:jc w:val="both"/>
    </w:pPr>
  </w:style>
  <w:style w:type="character" w:styleId="FootnoteReference">
    <w:name w:val="footnote reference"/>
    <w:uiPriority w:val="99"/>
    <w:semiHidden/>
    <w:unhideWhenUsed/>
    <w:rsid w:val="00E62618"/>
    <w:rPr>
      <w:vertAlign w:val="superscript"/>
    </w:rPr>
  </w:style>
  <w:style w:type="character" w:customStyle="1" w:styleId="Bodytext2Bold">
    <w:name w:val="Body text (2) + Bold"/>
    <w:rsid w:val="00E6261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rPr>
  </w:style>
  <w:style w:type="character" w:customStyle="1" w:styleId="apple-style-span">
    <w:name w:val="apple-style-span"/>
    <w:rsid w:val="00E62618"/>
  </w:style>
  <w:style w:type="character" w:customStyle="1" w:styleId="apple-converted-space">
    <w:name w:val="apple-converted-space"/>
    <w:rsid w:val="00E62618"/>
  </w:style>
  <w:style w:type="character" w:customStyle="1" w:styleId="st">
    <w:name w:val="st"/>
    <w:basedOn w:val="DefaultParagraphFont"/>
    <w:rsid w:val="00E62618"/>
  </w:style>
  <w:style w:type="character" w:customStyle="1" w:styleId="MessageHeaderLabel">
    <w:name w:val="Message Header Label"/>
    <w:rsid w:val="00E62618"/>
    <w:rPr>
      <w:b/>
      <w:bCs/>
      <w:sz w:val="18"/>
    </w:rPr>
  </w:style>
  <w:style w:type="table" w:styleId="TableGrid">
    <w:name w:val="Table Grid"/>
    <w:basedOn w:val="TableNormal"/>
    <w:uiPriority w:val="39"/>
    <w:rsid w:val="00E626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6261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
    <w:name w:val="Plain Table 51"/>
    <w:basedOn w:val="TableNormal"/>
    <w:uiPriority w:val="45"/>
    <w:rsid w:val="00E62618"/>
    <w:tblPr>
      <w:tblStyleRowBandSize w:val="1"/>
      <w:tblStyleColBandSize w:val="1"/>
    </w:tblPr>
    <w:tblStylePr w:type="firstRow">
      <w:rPr>
        <w:rFonts w:ascii="Calibri" w:eastAsia="Times New Roman"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Times New Roman"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Times New Roman"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E62618"/>
    <w:rPr>
      <w:lang w:val="sr-Latn-RS"/>
    </w:rPr>
    <w:tblPr>
      <w:tblStyleRowBandSize w:val="1"/>
      <w:tblStyleColBandSize w:val="1"/>
      <w:tblBorders>
        <w:top w:val="single" w:sz="4" w:space="0" w:color="EE8C69"/>
        <w:left w:val="single" w:sz="4" w:space="0" w:color="EE8C69"/>
        <w:bottom w:val="single" w:sz="4" w:space="0" w:color="EE8C69"/>
        <w:right w:val="single" w:sz="4" w:space="0" w:color="EE8C69"/>
        <w:insideH w:val="single" w:sz="4" w:space="0" w:color="EE8C69"/>
        <w:insideV w:val="single" w:sz="4" w:space="0" w:color="EE8C69"/>
      </w:tblBorders>
    </w:tblPr>
    <w:tblStylePr w:type="firstRow">
      <w:rPr>
        <w:b/>
        <w:bCs/>
        <w:color w:val="FFFFFF"/>
      </w:rPr>
      <w:tblPr/>
      <w:tcPr>
        <w:tcBorders>
          <w:top w:val="single" w:sz="4" w:space="0" w:color="D34817"/>
          <w:left w:val="single" w:sz="4" w:space="0" w:color="D34817"/>
          <w:bottom w:val="single" w:sz="4" w:space="0" w:color="D34817"/>
          <w:right w:val="single" w:sz="4" w:space="0" w:color="D34817"/>
          <w:insideH w:val="nil"/>
          <w:insideV w:val="nil"/>
        </w:tcBorders>
        <w:shd w:val="clear" w:color="auto" w:fill="D34817"/>
      </w:tcPr>
    </w:tblStylePr>
    <w:tblStylePr w:type="lastRow">
      <w:rPr>
        <w:b/>
        <w:bCs/>
      </w:rPr>
      <w:tblPr/>
      <w:tcPr>
        <w:tcBorders>
          <w:top w:val="double" w:sz="4" w:space="0" w:color="D34817"/>
        </w:tcBorders>
      </w:tcPr>
    </w:tblStylePr>
    <w:tblStylePr w:type="firstCol">
      <w:rPr>
        <w:b/>
        <w:bCs/>
      </w:rPr>
    </w:tblStylePr>
    <w:tblStylePr w:type="lastCol">
      <w:rPr>
        <w:b/>
        <w:bCs/>
      </w:rPr>
    </w:tblStylePr>
    <w:tblStylePr w:type="band1Vert">
      <w:tblPr/>
      <w:tcPr>
        <w:shd w:val="clear" w:color="auto" w:fill="F9D8CD"/>
      </w:tcPr>
    </w:tblStylePr>
    <w:tblStylePr w:type="band1Horz">
      <w:tblPr/>
      <w:tcPr>
        <w:shd w:val="clear" w:color="auto" w:fill="F9D8CD"/>
      </w:tcPr>
    </w:tblStylePr>
  </w:style>
  <w:style w:type="paragraph" w:customStyle="1" w:styleId="CalendarText">
    <w:name w:val="Calendar Text"/>
    <w:basedOn w:val="Normal"/>
    <w:qFormat/>
    <w:rsid w:val="00B613F0"/>
    <w:pPr>
      <w:spacing w:before="40" w:after="40"/>
    </w:pPr>
    <w:rPr>
      <w:rFonts w:ascii="Candara" w:eastAsia="Candara" w:hAnsi="Candara"/>
      <w:color w:val="0D0D0D"/>
      <w:kern w:val="16"/>
      <w:sz w:val="18"/>
      <w:szCs w:val="22"/>
      <w:lang w:val="en-US" w:eastAsia="en-US"/>
    </w:rPr>
  </w:style>
  <w:style w:type="table" w:styleId="LightShading-Accent1">
    <w:name w:val="Light Shading Accent 1"/>
    <w:basedOn w:val="TableNormal"/>
    <w:uiPriority w:val="60"/>
    <w:rsid w:val="00885F8E"/>
    <w:rPr>
      <w:color w:val="9D3511"/>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paragraph" w:customStyle="1" w:styleId="SKVPunkt">
    <w:name w:val="SKV Punkt"/>
    <w:basedOn w:val="Heading2"/>
    <w:uiPriority w:val="3"/>
    <w:qFormat/>
    <w:rsid w:val="000E52AD"/>
    <w:pPr>
      <w:numPr>
        <w:ilvl w:val="0"/>
        <w:numId w:val="3"/>
      </w:numPr>
      <w:spacing w:before="0"/>
    </w:pPr>
    <w:rPr>
      <w:bCs w:val="0"/>
      <w:i/>
      <w:color w:val="00B0F0"/>
      <w:lang w:val="bs-Latn-BA" w:eastAsia="en-US"/>
    </w:rPr>
  </w:style>
  <w:style w:type="character" w:styleId="SubtleEmphasis">
    <w:name w:val="Subtle Emphasis"/>
    <w:uiPriority w:val="19"/>
    <w:qFormat/>
    <w:rsid w:val="000E52AD"/>
  </w:style>
  <w:style w:type="paragraph" w:styleId="Subtitle">
    <w:name w:val="Subtitle"/>
    <w:basedOn w:val="Title"/>
    <w:next w:val="Normal"/>
    <w:link w:val="SubtitleChar"/>
    <w:uiPriority w:val="11"/>
    <w:qFormat/>
    <w:rsid w:val="00B57D22"/>
    <w:pPr>
      <w:keepNext/>
      <w:keepLines/>
      <w:numPr>
        <w:numId w:val="4"/>
      </w:numPr>
      <w:ind w:left="1077" w:hanging="357"/>
      <w:contextualSpacing w:val="0"/>
      <w:outlineLvl w:val="1"/>
    </w:pPr>
    <w:rPr>
      <w:rFonts w:ascii="Times New Roman" w:hAnsi="Times New Roman"/>
      <w:b/>
      <w:i/>
      <w:color w:val="00B0F0"/>
      <w:spacing w:val="0"/>
      <w:kern w:val="0"/>
      <w:sz w:val="24"/>
      <w:szCs w:val="26"/>
      <w:lang w:val="x-none" w:eastAsia="x-none"/>
    </w:rPr>
  </w:style>
  <w:style w:type="character" w:customStyle="1" w:styleId="SubtitleChar">
    <w:name w:val="Subtitle Char"/>
    <w:link w:val="Subtitle"/>
    <w:uiPriority w:val="11"/>
    <w:rsid w:val="00B57D22"/>
    <w:rPr>
      <w:rFonts w:ascii="Times New Roman" w:eastAsia="Times New Roman" w:hAnsi="Times New Roman"/>
      <w:b/>
      <w:i/>
      <w:color w:val="00B0F0"/>
      <w:sz w:val="24"/>
      <w:szCs w:val="26"/>
      <w:lang w:val="x-none" w:eastAsia="x-none"/>
    </w:rPr>
  </w:style>
  <w:style w:type="paragraph" w:styleId="Title">
    <w:name w:val="Title"/>
    <w:basedOn w:val="Normal"/>
    <w:next w:val="Normal"/>
    <w:link w:val="TitleChar"/>
    <w:uiPriority w:val="10"/>
    <w:qFormat/>
    <w:rsid w:val="00B57D22"/>
    <w:pPr>
      <w:contextualSpacing/>
    </w:pPr>
    <w:rPr>
      <w:rFonts w:ascii="Calibri Light" w:hAnsi="Calibri Light"/>
      <w:spacing w:val="-10"/>
      <w:kern w:val="28"/>
      <w:sz w:val="56"/>
      <w:szCs w:val="56"/>
    </w:rPr>
  </w:style>
  <w:style w:type="character" w:customStyle="1" w:styleId="TitleChar">
    <w:name w:val="Title Char"/>
    <w:link w:val="Title"/>
    <w:uiPriority w:val="10"/>
    <w:rsid w:val="00B57D22"/>
    <w:rPr>
      <w:rFonts w:ascii="Calibri Light" w:eastAsia="Times New Roman" w:hAnsi="Calibri Light" w:cs="Times New Roman"/>
      <w:spacing w:val="-10"/>
      <w:kern w:val="28"/>
      <w:sz w:val="56"/>
      <w:szCs w:val="56"/>
      <w:lang w:val="hr-HR" w:eastAsia="hr-HR"/>
    </w:rPr>
  </w:style>
  <w:style w:type="paragraph" w:styleId="Quote">
    <w:name w:val="Quote"/>
    <w:basedOn w:val="Title"/>
    <w:next w:val="Normal"/>
    <w:link w:val="QuoteChar"/>
    <w:uiPriority w:val="29"/>
    <w:qFormat/>
    <w:rsid w:val="00B57D22"/>
    <w:pPr>
      <w:keepNext/>
      <w:keepLines/>
      <w:numPr>
        <w:numId w:val="5"/>
      </w:numPr>
      <w:contextualSpacing w:val="0"/>
      <w:outlineLvl w:val="1"/>
    </w:pPr>
    <w:rPr>
      <w:rFonts w:ascii="Times New Roman" w:hAnsi="Times New Roman"/>
      <w:b/>
      <w:i/>
      <w:color w:val="00B0F0"/>
      <w:spacing w:val="0"/>
      <w:kern w:val="0"/>
      <w:sz w:val="24"/>
      <w:szCs w:val="26"/>
      <w:lang w:val="x-none" w:eastAsia="x-none"/>
    </w:rPr>
  </w:style>
  <w:style w:type="character" w:customStyle="1" w:styleId="QuoteChar">
    <w:name w:val="Quote Char"/>
    <w:link w:val="Quote"/>
    <w:uiPriority w:val="29"/>
    <w:rsid w:val="00B57D22"/>
    <w:rPr>
      <w:rFonts w:ascii="Times New Roman" w:eastAsia="Times New Roman" w:hAnsi="Times New Roman"/>
      <w:b/>
      <w:i/>
      <w:color w:val="00B0F0"/>
      <w:sz w:val="24"/>
      <w:szCs w:val="26"/>
      <w:lang w:val="x-none" w:eastAsia="x-none"/>
    </w:rPr>
  </w:style>
  <w:style w:type="paragraph" w:styleId="IntenseQuote">
    <w:name w:val="Intense Quote"/>
    <w:basedOn w:val="Quote"/>
    <w:next w:val="Normal"/>
    <w:link w:val="IntenseQuoteChar"/>
    <w:uiPriority w:val="30"/>
    <w:qFormat/>
    <w:rsid w:val="00B57D22"/>
    <w:pPr>
      <w:numPr>
        <w:numId w:val="6"/>
      </w:numPr>
    </w:pPr>
  </w:style>
  <w:style w:type="character" w:customStyle="1" w:styleId="IntenseQuoteChar">
    <w:name w:val="Intense Quote Char"/>
    <w:link w:val="IntenseQuote"/>
    <w:uiPriority w:val="30"/>
    <w:rsid w:val="00B57D22"/>
    <w:rPr>
      <w:rFonts w:ascii="Times New Roman" w:eastAsia="Times New Roman" w:hAnsi="Times New Roman"/>
      <w:b/>
      <w:i/>
      <w:color w:val="00B0F0"/>
      <w:sz w:val="24"/>
      <w:szCs w:val="26"/>
      <w:lang w:val="x-none" w:eastAsia="x-none"/>
    </w:rPr>
  </w:style>
  <w:style w:type="paragraph" w:styleId="BodyTextIndent">
    <w:name w:val="Body Text Indent"/>
    <w:basedOn w:val="Normal"/>
    <w:link w:val="BodyTextIndentChar"/>
    <w:uiPriority w:val="99"/>
    <w:semiHidden/>
    <w:unhideWhenUsed/>
    <w:rsid w:val="00E062DB"/>
    <w:pPr>
      <w:spacing w:after="120"/>
      <w:ind w:left="283"/>
    </w:pPr>
  </w:style>
  <w:style w:type="character" w:customStyle="1" w:styleId="BodyTextIndentChar">
    <w:name w:val="Body Text Indent Char"/>
    <w:link w:val="BodyTextIndent"/>
    <w:uiPriority w:val="99"/>
    <w:semiHidden/>
    <w:rsid w:val="00E062DB"/>
    <w:rPr>
      <w:rFonts w:ascii="Times New Roman" w:eastAsia="Times New Roman" w:hAnsi="Times New Roman" w:cs="Times New Roman"/>
      <w:sz w:val="24"/>
      <w:szCs w:val="24"/>
      <w:lang w:val="hr-HR" w:eastAsia="hr-HR"/>
    </w:rPr>
  </w:style>
  <w:style w:type="table" w:customStyle="1" w:styleId="PlainTable511">
    <w:name w:val="Plain Table 511"/>
    <w:basedOn w:val="TableNormal"/>
    <w:next w:val="TableNormal"/>
    <w:uiPriority w:val="45"/>
    <w:rsid w:val="00E062DB"/>
    <w:tblPr>
      <w:tblStyleRowBandSize w:val="1"/>
      <w:tblStyleColBandSize w:val="1"/>
    </w:tblPr>
    <w:tblStylePr w:type="firstRow">
      <w:rPr>
        <w:rFonts w:ascii="Calibri" w:eastAsia="Times New Roman"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Times New Roman"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Times New Roman"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
    <w:name w:val="No List1"/>
    <w:next w:val="NoList"/>
    <w:uiPriority w:val="99"/>
    <w:semiHidden/>
    <w:unhideWhenUsed/>
    <w:rsid w:val="0020221C"/>
  </w:style>
  <w:style w:type="table" w:customStyle="1" w:styleId="PlainTable512">
    <w:name w:val="Plain Table 512"/>
    <w:basedOn w:val="TableNormal"/>
    <w:next w:val="TableNormal"/>
    <w:uiPriority w:val="45"/>
    <w:rsid w:val="008D4230"/>
    <w:tblPr>
      <w:tblStyleRowBandSize w:val="1"/>
      <w:tblStyleColBandSize w:val="1"/>
    </w:tblPr>
    <w:tblStylePr w:type="firstRow">
      <w:rPr>
        <w:rFonts w:ascii="Calibri" w:eastAsia="Times New Roman"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Times New Roman"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Times New Roman"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360E49"/>
    <w:rPr>
      <w:rFonts w:ascii="Times New Roman" w:eastAsia="Times New Roman" w:hAnsi="Times New Roman"/>
      <w:sz w:val="24"/>
      <w:szCs w:val="24"/>
      <w:lang w:val="hr-HR" w:eastAsia="hr-HR"/>
    </w:rPr>
  </w:style>
  <w:style w:type="character" w:styleId="CommentReference">
    <w:name w:val="annotation reference"/>
    <w:uiPriority w:val="99"/>
    <w:semiHidden/>
    <w:unhideWhenUsed/>
    <w:rsid w:val="005624AC"/>
    <w:rPr>
      <w:sz w:val="16"/>
      <w:szCs w:val="16"/>
    </w:rPr>
  </w:style>
  <w:style w:type="paragraph" w:styleId="CommentSubject">
    <w:name w:val="annotation subject"/>
    <w:basedOn w:val="CommentText"/>
    <w:next w:val="CommentText"/>
    <w:link w:val="CommentSubjectChar"/>
    <w:uiPriority w:val="99"/>
    <w:semiHidden/>
    <w:unhideWhenUsed/>
    <w:rsid w:val="005624AC"/>
    <w:rPr>
      <w:b/>
      <w:bCs/>
    </w:rPr>
  </w:style>
  <w:style w:type="character" w:customStyle="1" w:styleId="CommentSubjectChar">
    <w:name w:val="Comment Subject Char"/>
    <w:link w:val="CommentSubject"/>
    <w:uiPriority w:val="99"/>
    <w:semiHidden/>
    <w:rsid w:val="005624AC"/>
    <w:rPr>
      <w:rFonts w:ascii="Times New Roman" w:eastAsia="Times New Roman" w:hAnsi="Times New Roman" w:cs="Times New Roman"/>
      <w:b/>
      <w:bCs/>
      <w:sz w:val="20"/>
      <w:szCs w:val="20"/>
      <w:lang w:val="hr-HR" w:eastAsia="hr-HR"/>
    </w:rPr>
  </w:style>
  <w:style w:type="table" w:customStyle="1" w:styleId="GridTable5Dark-Accent11">
    <w:name w:val="Grid Table 5 Dark - Accent 11"/>
    <w:basedOn w:val="TableNormal"/>
    <w:uiPriority w:val="50"/>
    <w:rsid w:val="00565E2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8C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348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348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348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34817"/>
      </w:tcPr>
    </w:tblStylePr>
    <w:tblStylePr w:type="band1Vert">
      <w:tblPr/>
      <w:tcPr>
        <w:shd w:val="clear" w:color="auto" w:fill="F4B29B"/>
      </w:tcPr>
    </w:tblStylePr>
    <w:tblStylePr w:type="band1Horz">
      <w:tblPr/>
      <w:tcPr>
        <w:shd w:val="clear" w:color="auto" w:fill="F4B29B"/>
      </w:tcPr>
    </w:tblStylePr>
  </w:style>
  <w:style w:type="table" w:customStyle="1" w:styleId="ListTable3-Accent11">
    <w:name w:val="List Table 3 - Accent 11"/>
    <w:basedOn w:val="TableNormal"/>
    <w:uiPriority w:val="48"/>
    <w:rsid w:val="00565E2F"/>
    <w:tblPr>
      <w:tblStyleRowBandSize w:val="1"/>
      <w:tblStyleColBandSize w:val="1"/>
      <w:tblBorders>
        <w:top w:val="single" w:sz="4" w:space="0" w:color="D34817"/>
        <w:left w:val="single" w:sz="4" w:space="0" w:color="D34817"/>
        <w:bottom w:val="single" w:sz="4" w:space="0" w:color="D34817"/>
        <w:right w:val="single" w:sz="4" w:space="0" w:color="D34817"/>
      </w:tblBorders>
    </w:tblPr>
    <w:tblStylePr w:type="firstRow">
      <w:rPr>
        <w:b/>
        <w:bCs/>
        <w:color w:val="FFFFFF"/>
      </w:rPr>
      <w:tblPr/>
      <w:tcPr>
        <w:shd w:val="clear" w:color="auto" w:fill="D34817"/>
      </w:tcPr>
    </w:tblStylePr>
    <w:tblStylePr w:type="lastRow">
      <w:rPr>
        <w:b/>
        <w:bCs/>
      </w:rPr>
      <w:tblPr/>
      <w:tcPr>
        <w:tcBorders>
          <w:top w:val="double" w:sz="4" w:space="0" w:color="D348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34817"/>
          <w:right w:val="single" w:sz="4" w:space="0" w:color="D34817"/>
        </w:tcBorders>
      </w:tcPr>
    </w:tblStylePr>
    <w:tblStylePr w:type="band1Horz">
      <w:tblPr/>
      <w:tcPr>
        <w:tcBorders>
          <w:top w:val="single" w:sz="4" w:space="0" w:color="D34817"/>
          <w:bottom w:val="single" w:sz="4" w:space="0" w:color="D348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817"/>
          <w:left w:val="nil"/>
        </w:tcBorders>
      </w:tcPr>
    </w:tblStylePr>
    <w:tblStylePr w:type="swCell">
      <w:tblPr/>
      <w:tcPr>
        <w:tcBorders>
          <w:top w:val="double" w:sz="4" w:space="0" w:color="D34817"/>
          <w:right w:val="nil"/>
        </w:tcBorders>
      </w:tcPr>
    </w:tblStylePr>
  </w:style>
  <w:style w:type="table" w:customStyle="1" w:styleId="TableGridLight1">
    <w:name w:val="Table Grid Light1"/>
    <w:basedOn w:val="TableNormal"/>
    <w:uiPriority w:val="40"/>
    <w:rsid w:val="00BF1AF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11">
    <w:name w:val="Grid Table 1 Light - Accent 11"/>
    <w:basedOn w:val="TableNormal"/>
    <w:uiPriority w:val="46"/>
    <w:rsid w:val="00BF1AF1"/>
    <w:tblPr>
      <w:tblStyleRowBandSize w:val="1"/>
      <w:tblStyleColBandSize w:val="1"/>
      <w:tblBorders>
        <w:top w:val="single" w:sz="4" w:space="0" w:color="F4B29B"/>
        <w:left w:val="single" w:sz="4" w:space="0" w:color="F4B29B"/>
        <w:bottom w:val="single" w:sz="4" w:space="0" w:color="F4B29B"/>
        <w:right w:val="single" w:sz="4" w:space="0" w:color="F4B29B"/>
        <w:insideH w:val="single" w:sz="4" w:space="0" w:color="F4B29B"/>
        <w:insideV w:val="single" w:sz="4" w:space="0" w:color="F4B29B"/>
      </w:tblBorders>
    </w:tblPr>
    <w:tblStylePr w:type="firstRow">
      <w:rPr>
        <w:b/>
        <w:bCs/>
      </w:rPr>
      <w:tblPr/>
      <w:tcPr>
        <w:tcBorders>
          <w:bottom w:val="single" w:sz="12" w:space="0" w:color="EE8C69"/>
        </w:tcBorders>
      </w:tcPr>
    </w:tblStylePr>
    <w:tblStylePr w:type="lastRow">
      <w:rPr>
        <w:b/>
        <w:bCs/>
      </w:rPr>
      <w:tblPr/>
      <w:tcPr>
        <w:tcBorders>
          <w:top w:val="double" w:sz="2" w:space="0" w:color="EE8C6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F1AF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452E08"/>
  </w:style>
  <w:style w:type="character" w:customStyle="1" w:styleId="NoSpacingChar">
    <w:name w:val="No Spacing Char"/>
    <w:link w:val="NoSpacing"/>
    <w:rsid w:val="003F1F0D"/>
    <w:rPr>
      <w:lang w:val="en-US" w:eastAsia="en-GB" w:bidi="ar-SA"/>
    </w:rPr>
  </w:style>
  <w:style w:type="character" w:customStyle="1" w:styleId="Heading20">
    <w:name w:val="Heading #2_"/>
    <w:link w:val="Heading21"/>
    <w:rsid w:val="005D7667"/>
    <w:rPr>
      <w:b/>
      <w:bCs/>
      <w:shd w:val="clear" w:color="auto" w:fill="FFFFFF"/>
    </w:rPr>
  </w:style>
  <w:style w:type="paragraph" w:customStyle="1" w:styleId="Heading21">
    <w:name w:val="Heading #2"/>
    <w:basedOn w:val="Normal"/>
    <w:link w:val="Heading20"/>
    <w:rsid w:val="005D7667"/>
    <w:pPr>
      <w:widowControl w:val="0"/>
      <w:shd w:val="clear" w:color="auto" w:fill="FFFFFF"/>
      <w:spacing w:after="1020" w:line="0" w:lineRule="atLeast"/>
      <w:outlineLvl w:val="1"/>
    </w:pPr>
    <w:rPr>
      <w:rFonts w:ascii="Calibri" w:eastAsia="Calibri" w:hAnsi="Calibri"/>
      <w:b/>
      <w:bCs/>
      <w:sz w:val="20"/>
      <w:szCs w:val="20"/>
      <w:lang w:val="x-none" w:eastAsia="x-none"/>
    </w:rPr>
  </w:style>
  <w:style w:type="character" w:customStyle="1" w:styleId="Bodytext20">
    <w:name w:val="Body text (2)_"/>
    <w:link w:val="Bodytext21"/>
    <w:rsid w:val="005D7667"/>
    <w:rPr>
      <w:shd w:val="clear" w:color="auto" w:fill="FFFFFF"/>
    </w:rPr>
  </w:style>
  <w:style w:type="paragraph" w:customStyle="1" w:styleId="Bodytext21">
    <w:name w:val="Body text (2)"/>
    <w:basedOn w:val="Normal"/>
    <w:link w:val="Bodytext20"/>
    <w:rsid w:val="005D7667"/>
    <w:pPr>
      <w:widowControl w:val="0"/>
      <w:shd w:val="clear" w:color="auto" w:fill="FFFFFF"/>
      <w:spacing w:line="0" w:lineRule="atLeast"/>
    </w:pPr>
    <w:rPr>
      <w:rFonts w:ascii="Calibri" w:eastAsia="Calibri" w:hAnsi="Calibri"/>
      <w:sz w:val="20"/>
      <w:szCs w:val="20"/>
      <w:lang w:val="x-none" w:eastAsia="x-none"/>
    </w:rPr>
  </w:style>
  <w:style w:type="table" w:customStyle="1" w:styleId="PlainTable111">
    <w:name w:val="Plain Table 111"/>
    <w:basedOn w:val="TableNormal"/>
    <w:uiPriority w:val="41"/>
    <w:rsid w:val="006D41D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4151CB"/>
    <w:pPr>
      <w:spacing w:before="100" w:beforeAutospacing="1" w:after="100" w:afterAutospacing="1"/>
    </w:pPr>
    <w:rPr>
      <w:lang w:val="en-GB" w:eastAsia="en-GB"/>
    </w:rPr>
  </w:style>
  <w:style w:type="character" w:customStyle="1" w:styleId="normalchar">
    <w:name w:val="normal__char"/>
    <w:basedOn w:val="DefaultParagraphFont"/>
    <w:rsid w:val="004151CB"/>
  </w:style>
  <w:style w:type="paragraph" w:customStyle="1" w:styleId="list0020paragraph">
    <w:name w:val="list_0020paragraph"/>
    <w:basedOn w:val="Normal"/>
    <w:rsid w:val="004151CB"/>
    <w:pPr>
      <w:spacing w:before="100" w:beforeAutospacing="1" w:after="100" w:afterAutospacing="1"/>
    </w:pPr>
    <w:rPr>
      <w:lang w:val="en-GB" w:eastAsia="en-GB"/>
    </w:rPr>
  </w:style>
  <w:style w:type="character" w:customStyle="1" w:styleId="list0020paragraphchar">
    <w:name w:val="list_0020paragraph__char"/>
    <w:basedOn w:val="DefaultParagraphFont"/>
    <w:rsid w:val="004151CB"/>
  </w:style>
  <w:style w:type="paragraph" w:customStyle="1" w:styleId="list0020table002020020accent00203">
    <w:name w:val="list_0020table_00202_0020accent_00203"/>
    <w:basedOn w:val="Normal"/>
    <w:rsid w:val="00E07806"/>
    <w:pPr>
      <w:spacing w:before="100" w:beforeAutospacing="1" w:after="100" w:afterAutospacing="1"/>
    </w:pPr>
    <w:rPr>
      <w:lang w:val="en-GB" w:eastAsia="en-GB"/>
    </w:rPr>
  </w:style>
  <w:style w:type="character" w:customStyle="1" w:styleId="list0020table002020020accent00203char">
    <w:name w:val="list_0020table_00202_0020accent_00203__char"/>
    <w:basedOn w:val="DefaultParagraphFont"/>
    <w:rsid w:val="00E07806"/>
  </w:style>
  <w:style w:type="character" w:customStyle="1" w:styleId="strongchar">
    <w:name w:val="strong__char"/>
    <w:basedOn w:val="DefaultParagraphFont"/>
    <w:rsid w:val="00DE3301"/>
  </w:style>
  <w:style w:type="paragraph" w:customStyle="1" w:styleId="body0020text0020002820029">
    <w:name w:val="body_0020text_0020_00282_0029"/>
    <w:basedOn w:val="Normal"/>
    <w:rsid w:val="00C431A1"/>
    <w:pPr>
      <w:spacing w:before="100" w:beforeAutospacing="1" w:after="100" w:afterAutospacing="1"/>
    </w:pPr>
    <w:rPr>
      <w:lang w:val="en-GB" w:eastAsia="en-GB"/>
    </w:rPr>
  </w:style>
  <w:style w:type="character" w:customStyle="1" w:styleId="body0020text00200028200290020002b0020boldchar">
    <w:name w:val="body_0020text_0020_00282_0029_0020_002b_0020bold__char"/>
    <w:basedOn w:val="DefaultParagraphFont"/>
    <w:rsid w:val="00C431A1"/>
  </w:style>
  <w:style w:type="character" w:customStyle="1" w:styleId="body0020text0020002820029char">
    <w:name w:val="body_0020text_0020_00282_0029__char"/>
    <w:basedOn w:val="DefaultParagraphFont"/>
    <w:rsid w:val="00C431A1"/>
  </w:style>
  <w:style w:type="character" w:customStyle="1" w:styleId="heading002000232char">
    <w:name w:val="heading_0020_00232__char"/>
    <w:basedOn w:val="DefaultParagraphFont"/>
    <w:rsid w:val="00C431A1"/>
  </w:style>
  <w:style w:type="character" w:customStyle="1" w:styleId="FootnoteTextChar1">
    <w:name w:val="Footnote Text Char1"/>
    <w:uiPriority w:val="99"/>
    <w:locked/>
    <w:rsid w:val="00A11673"/>
    <w:rPr>
      <w:lang w:val="hr-HR" w:eastAsia="hr-HR"/>
    </w:rPr>
  </w:style>
  <w:style w:type="paragraph" w:customStyle="1" w:styleId="normal0020table">
    <w:name w:val="normal_0020table"/>
    <w:basedOn w:val="Normal"/>
    <w:rsid w:val="0013028A"/>
    <w:pPr>
      <w:spacing w:before="100" w:beforeAutospacing="1" w:after="100" w:afterAutospacing="1"/>
    </w:pPr>
    <w:rPr>
      <w:lang w:val="en-GB" w:eastAsia="en-GB"/>
    </w:rPr>
  </w:style>
  <w:style w:type="character" w:customStyle="1" w:styleId="normal0020tablechar">
    <w:name w:val="normal_0020table__char"/>
    <w:basedOn w:val="DefaultParagraphFont"/>
    <w:rsid w:val="0013028A"/>
  </w:style>
  <w:style w:type="paragraph" w:customStyle="1" w:styleId="table0020grid">
    <w:name w:val="table_0020grid"/>
    <w:basedOn w:val="Normal"/>
    <w:rsid w:val="00C16A23"/>
    <w:pPr>
      <w:spacing w:before="100" w:beforeAutospacing="1" w:after="100" w:afterAutospacing="1"/>
    </w:pPr>
    <w:rPr>
      <w:lang w:val="en-GB" w:eastAsia="en-GB"/>
    </w:rPr>
  </w:style>
  <w:style w:type="character" w:customStyle="1" w:styleId="table0020gridchar">
    <w:name w:val="table_0020grid__char"/>
    <w:basedOn w:val="DefaultParagraphFont"/>
    <w:rsid w:val="00C16A23"/>
  </w:style>
  <w:style w:type="paragraph" w:customStyle="1" w:styleId="default0">
    <w:name w:val="default"/>
    <w:basedOn w:val="Normal"/>
    <w:rsid w:val="0031471E"/>
    <w:pPr>
      <w:spacing w:before="100" w:beforeAutospacing="1" w:after="100" w:afterAutospacing="1"/>
    </w:pPr>
    <w:rPr>
      <w:lang w:val="en-GB" w:eastAsia="en-GB"/>
    </w:rPr>
  </w:style>
  <w:style w:type="character" w:customStyle="1" w:styleId="defaultchar">
    <w:name w:val="default__char"/>
    <w:basedOn w:val="DefaultParagraphFont"/>
    <w:rsid w:val="0031471E"/>
  </w:style>
  <w:style w:type="character" w:customStyle="1" w:styleId="body0020text0020charchar">
    <w:name w:val="body_0020text_0020char__char"/>
    <w:basedOn w:val="DefaultParagraphFont"/>
    <w:rsid w:val="007B7AB7"/>
  </w:style>
  <w:style w:type="table" w:styleId="MediumGrid1-Accent3">
    <w:name w:val="Medium Grid 1 Accent 3"/>
    <w:basedOn w:val="TableNormal"/>
    <w:uiPriority w:val="67"/>
    <w:rsid w:val="00564E34"/>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Accent6">
    <w:name w:val="Light Grid Accent 6"/>
    <w:basedOn w:val="TableNormal"/>
    <w:uiPriority w:val="62"/>
    <w:rsid w:val="006432A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2">
    <w:name w:val="Medium Grid 1 Accent 2"/>
    <w:basedOn w:val="TableNormal"/>
    <w:uiPriority w:val="67"/>
    <w:rsid w:val="00107DB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Grid-Accent3">
    <w:name w:val="Light Grid Accent 3"/>
    <w:basedOn w:val="TableNormal"/>
    <w:uiPriority w:val="62"/>
    <w:rsid w:val="00107DB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Grid1-Accent1">
    <w:name w:val="Medium Grid 1 Accent 1"/>
    <w:basedOn w:val="TableNormal"/>
    <w:uiPriority w:val="67"/>
    <w:rsid w:val="00F2590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dTable5Dark-Accent4">
    <w:name w:val="Grid Table 5 Dark Accent 4"/>
    <w:basedOn w:val="TableNormal"/>
    <w:uiPriority w:val="50"/>
    <w:rsid w:val="003079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3079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079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3079B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3079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3">
    <w:name w:val="Grid Table 4 Accent 3"/>
    <w:basedOn w:val="TableNormal"/>
    <w:uiPriority w:val="49"/>
    <w:rsid w:val="00E0390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2E77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1751E"/>
    <w:rPr>
      <w:rFonts w:asciiTheme="minorHAnsi" w:eastAsiaTheme="minorHAnsi" w:hAnsiTheme="minorHAnsi" w:cstheme="minorBidi"/>
      <w:color w:val="7B7B7B" w:themeColor="accent3" w:themeShade="BF"/>
      <w:sz w:val="22"/>
      <w:szCs w:val="22"/>
      <w:lang w:val="bs-Latn-B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7371">
      <w:bodyDiv w:val="1"/>
      <w:marLeft w:val="0"/>
      <w:marRight w:val="0"/>
      <w:marTop w:val="0"/>
      <w:marBottom w:val="0"/>
      <w:divBdr>
        <w:top w:val="none" w:sz="0" w:space="0" w:color="auto"/>
        <w:left w:val="none" w:sz="0" w:space="0" w:color="auto"/>
        <w:bottom w:val="none" w:sz="0" w:space="0" w:color="auto"/>
        <w:right w:val="none" w:sz="0" w:space="0" w:color="auto"/>
      </w:divBdr>
    </w:div>
    <w:div w:id="71971943">
      <w:bodyDiv w:val="1"/>
      <w:marLeft w:val="0"/>
      <w:marRight w:val="0"/>
      <w:marTop w:val="0"/>
      <w:marBottom w:val="0"/>
      <w:divBdr>
        <w:top w:val="none" w:sz="0" w:space="0" w:color="auto"/>
        <w:left w:val="none" w:sz="0" w:space="0" w:color="auto"/>
        <w:bottom w:val="none" w:sz="0" w:space="0" w:color="auto"/>
        <w:right w:val="none" w:sz="0" w:space="0" w:color="auto"/>
      </w:divBdr>
    </w:div>
    <w:div w:id="82797455">
      <w:bodyDiv w:val="1"/>
      <w:marLeft w:val="0"/>
      <w:marRight w:val="0"/>
      <w:marTop w:val="0"/>
      <w:marBottom w:val="0"/>
      <w:divBdr>
        <w:top w:val="none" w:sz="0" w:space="0" w:color="auto"/>
        <w:left w:val="none" w:sz="0" w:space="0" w:color="auto"/>
        <w:bottom w:val="none" w:sz="0" w:space="0" w:color="auto"/>
        <w:right w:val="none" w:sz="0" w:space="0" w:color="auto"/>
      </w:divBdr>
    </w:div>
    <w:div w:id="88284547">
      <w:bodyDiv w:val="1"/>
      <w:marLeft w:val="0"/>
      <w:marRight w:val="0"/>
      <w:marTop w:val="0"/>
      <w:marBottom w:val="0"/>
      <w:divBdr>
        <w:top w:val="none" w:sz="0" w:space="0" w:color="auto"/>
        <w:left w:val="none" w:sz="0" w:space="0" w:color="auto"/>
        <w:bottom w:val="none" w:sz="0" w:space="0" w:color="auto"/>
        <w:right w:val="none" w:sz="0" w:space="0" w:color="auto"/>
      </w:divBdr>
    </w:div>
    <w:div w:id="92168042">
      <w:bodyDiv w:val="1"/>
      <w:marLeft w:val="0"/>
      <w:marRight w:val="0"/>
      <w:marTop w:val="0"/>
      <w:marBottom w:val="0"/>
      <w:divBdr>
        <w:top w:val="none" w:sz="0" w:space="0" w:color="auto"/>
        <w:left w:val="none" w:sz="0" w:space="0" w:color="auto"/>
        <w:bottom w:val="none" w:sz="0" w:space="0" w:color="auto"/>
        <w:right w:val="none" w:sz="0" w:space="0" w:color="auto"/>
      </w:divBdr>
    </w:div>
    <w:div w:id="100994058">
      <w:bodyDiv w:val="1"/>
      <w:marLeft w:val="0"/>
      <w:marRight w:val="0"/>
      <w:marTop w:val="0"/>
      <w:marBottom w:val="0"/>
      <w:divBdr>
        <w:top w:val="none" w:sz="0" w:space="0" w:color="auto"/>
        <w:left w:val="none" w:sz="0" w:space="0" w:color="auto"/>
        <w:bottom w:val="none" w:sz="0" w:space="0" w:color="auto"/>
        <w:right w:val="none" w:sz="0" w:space="0" w:color="auto"/>
      </w:divBdr>
    </w:div>
    <w:div w:id="105006163">
      <w:bodyDiv w:val="1"/>
      <w:marLeft w:val="0"/>
      <w:marRight w:val="0"/>
      <w:marTop w:val="0"/>
      <w:marBottom w:val="0"/>
      <w:divBdr>
        <w:top w:val="none" w:sz="0" w:space="0" w:color="auto"/>
        <w:left w:val="none" w:sz="0" w:space="0" w:color="auto"/>
        <w:bottom w:val="none" w:sz="0" w:space="0" w:color="auto"/>
        <w:right w:val="none" w:sz="0" w:space="0" w:color="auto"/>
      </w:divBdr>
    </w:div>
    <w:div w:id="108166188">
      <w:bodyDiv w:val="1"/>
      <w:marLeft w:val="0"/>
      <w:marRight w:val="0"/>
      <w:marTop w:val="0"/>
      <w:marBottom w:val="0"/>
      <w:divBdr>
        <w:top w:val="none" w:sz="0" w:space="0" w:color="auto"/>
        <w:left w:val="none" w:sz="0" w:space="0" w:color="auto"/>
        <w:bottom w:val="none" w:sz="0" w:space="0" w:color="auto"/>
        <w:right w:val="none" w:sz="0" w:space="0" w:color="auto"/>
      </w:divBdr>
    </w:div>
    <w:div w:id="115410994">
      <w:bodyDiv w:val="1"/>
      <w:marLeft w:val="0"/>
      <w:marRight w:val="0"/>
      <w:marTop w:val="0"/>
      <w:marBottom w:val="0"/>
      <w:divBdr>
        <w:top w:val="none" w:sz="0" w:space="0" w:color="auto"/>
        <w:left w:val="none" w:sz="0" w:space="0" w:color="auto"/>
        <w:bottom w:val="none" w:sz="0" w:space="0" w:color="auto"/>
        <w:right w:val="none" w:sz="0" w:space="0" w:color="auto"/>
      </w:divBdr>
    </w:div>
    <w:div w:id="136069502">
      <w:bodyDiv w:val="1"/>
      <w:marLeft w:val="0"/>
      <w:marRight w:val="0"/>
      <w:marTop w:val="0"/>
      <w:marBottom w:val="0"/>
      <w:divBdr>
        <w:top w:val="none" w:sz="0" w:space="0" w:color="auto"/>
        <w:left w:val="none" w:sz="0" w:space="0" w:color="auto"/>
        <w:bottom w:val="none" w:sz="0" w:space="0" w:color="auto"/>
        <w:right w:val="none" w:sz="0" w:space="0" w:color="auto"/>
      </w:divBdr>
    </w:div>
    <w:div w:id="152110540">
      <w:bodyDiv w:val="1"/>
      <w:marLeft w:val="0"/>
      <w:marRight w:val="0"/>
      <w:marTop w:val="0"/>
      <w:marBottom w:val="0"/>
      <w:divBdr>
        <w:top w:val="none" w:sz="0" w:space="0" w:color="auto"/>
        <w:left w:val="none" w:sz="0" w:space="0" w:color="auto"/>
        <w:bottom w:val="none" w:sz="0" w:space="0" w:color="auto"/>
        <w:right w:val="none" w:sz="0" w:space="0" w:color="auto"/>
      </w:divBdr>
    </w:div>
    <w:div w:id="170610864">
      <w:bodyDiv w:val="1"/>
      <w:marLeft w:val="0"/>
      <w:marRight w:val="0"/>
      <w:marTop w:val="0"/>
      <w:marBottom w:val="0"/>
      <w:divBdr>
        <w:top w:val="none" w:sz="0" w:space="0" w:color="auto"/>
        <w:left w:val="none" w:sz="0" w:space="0" w:color="auto"/>
        <w:bottom w:val="none" w:sz="0" w:space="0" w:color="auto"/>
        <w:right w:val="none" w:sz="0" w:space="0" w:color="auto"/>
      </w:divBdr>
    </w:div>
    <w:div w:id="191261168">
      <w:bodyDiv w:val="1"/>
      <w:marLeft w:val="0"/>
      <w:marRight w:val="0"/>
      <w:marTop w:val="0"/>
      <w:marBottom w:val="0"/>
      <w:divBdr>
        <w:top w:val="none" w:sz="0" w:space="0" w:color="auto"/>
        <w:left w:val="none" w:sz="0" w:space="0" w:color="auto"/>
        <w:bottom w:val="none" w:sz="0" w:space="0" w:color="auto"/>
        <w:right w:val="none" w:sz="0" w:space="0" w:color="auto"/>
      </w:divBdr>
    </w:div>
    <w:div w:id="295794355">
      <w:bodyDiv w:val="1"/>
      <w:marLeft w:val="0"/>
      <w:marRight w:val="0"/>
      <w:marTop w:val="0"/>
      <w:marBottom w:val="0"/>
      <w:divBdr>
        <w:top w:val="none" w:sz="0" w:space="0" w:color="auto"/>
        <w:left w:val="none" w:sz="0" w:space="0" w:color="auto"/>
        <w:bottom w:val="none" w:sz="0" w:space="0" w:color="auto"/>
        <w:right w:val="none" w:sz="0" w:space="0" w:color="auto"/>
      </w:divBdr>
    </w:div>
    <w:div w:id="323361548">
      <w:bodyDiv w:val="1"/>
      <w:marLeft w:val="0"/>
      <w:marRight w:val="0"/>
      <w:marTop w:val="0"/>
      <w:marBottom w:val="0"/>
      <w:divBdr>
        <w:top w:val="none" w:sz="0" w:space="0" w:color="auto"/>
        <w:left w:val="none" w:sz="0" w:space="0" w:color="auto"/>
        <w:bottom w:val="none" w:sz="0" w:space="0" w:color="auto"/>
        <w:right w:val="none" w:sz="0" w:space="0" w:color="auto"/>
      </w:divBdr>
    </w:div>
    <w:div w:id="324549486">
      <w:bodyDiv w:val="1"/>
      <w:marLeft w:val="0"/>
      <w:marRight w:val="0"/>
      <w:marTop w:val="0"/>
      <w:marBottom w:val="0"/>
      <w:divBdr>
        <w:top w:val="none" w:sz="0" w:space="0" w:color="auto"/>
        <w:left w:val="none" w:sz="0" w:space="0" w:color="auto"/>
        <w:bottom w:val="none" w:sz="0" w:space="0" w:color="auto"/>
        <w:right w:val="none" w:sz="0" w:space="0" w:color="auto"/>
      </w:divBdr>
    </w:div>
    <w:div w:id="349527975">
      <w:bodyDiv w:val="1"/>
      <w:marLeft w:val="0"/>
      <w:marRight w:val="0"/>
      <w:marTop w:val="0"/>
      <w:marBottom w:val="0"/>
      <w:divBdr>
        <w:top w:val="none" w:sz="0" w:space="0" w:color="auto"/>
        <w:left w:val="none" w:sz="0" w:space="0" w:color="auto"/>
        <w:bottom w:val="none" w:sz="0" w:space="0" w:color="auto"/>
        <w:right w:val="none" w:sz="0" w:space="0" w:color="auto"/>
      </w:divBdr>
    </w:div>
    <w:div w:id="385107873">
      <w:bodyDiv w:val="1"/>
      <w:marLeft w:val="0"/>
      <w:marRight w:val="0"/>
      <w:marTop w:val="0"/>
      <w:marBottom w:val="0"/>
      <w:divBdr>
        <w:top w:val="none" w:sz="0" w:space="0" w:color="auto"/>
        <w:left w:val="none" w:sz="0" w:space="0" w:color="auto"/>
        <w:bottom w:val="none" w:sz="0" w:space="0" w:color="auto"/>
        <w:right w:val="none" w:sz="0" w:space="0" w:color="auto"/>
      </w:divBdr>
    </w:div>
    <w:div w:id="408117235">
      <w:bodyDiv w:val="1"/>
      <w:marLeft w:val="0"/>
      <w:marRight w:val="0"/>
      <w:marTop w:val="0"/>
      <w:marBottom w:val="0"/>
      <w:divBdr>
        <w:top w:val="none" w:sz="0" w:space="0" w:color="auto"/>
        <w:left w:val="none" w:sz="0" w:space="0" w:color="auto"/>
        <w:bottom w:val="none" w:sz="0" w:space="0" w:color="auto"/>
        <w:right w:val="none" w:sz="0" w:space="0" w:color="auto"/>
      </w:divBdr>
    </w:div>
    <w:div w:id="416638149">
      <w:bodyDiv w:val="1"/>
      <w:marLeft w:val="0"/>
      <w:marRight w:val="0"/>
      <w:marTop w:val="0"/>
      <w:marBottom w:val="0"/>
      <w:divBdr>
        <w:top w:val="none" w:sz="0" w:space="0" w:color="auto"/>
        <w:left w:val="none" w:sz="0" w:space="0" w:color="auto"/>
        <w:bottom w:val="none" w:sz="0" w:space="0" w:color="auto"/>
        <w:right w:val="none" w:sz="0" w:space="0" w:color="auto"/>
      </w:divBdr>
    </w:div>
    <w:div w:id="435518187">
      <w:bodyDiv w:val="1"/>
      <w:marLeft w:val="0"/>
      <w:marRight w:val="0"/>
      <w:marTop w:val="0"/>
      <w:marBottom w:val="0"/>
      <w:divBdr>
        <w:top w:val="none" w:sz="0" w:space="0" w:color="auto"/>
        <w:left w:val="none" w:sz="0" w:space="0" w:color="auto"/>
        <w:bottom w:val="none" w:sz="0" w:space="0" w:color="auto"/>
        <w:right w:val="none" w:sz="0" w:space="0" w:color="auto"/>
      </w:divBdr>
    </w:div>
    <w:div w:id="443621726">
      <w:bodyDiv w:val="1"/>
      <w:marLeft w:val="0"/>
      <w:marRight w:val="0"/>
      <w:marTop w:val="0"/>
      <w:marBottom w:val="0"/>
      <w:divBdr>
        <w:top w:val="none" w:sz="0" w:space="0" w:color="auto"/>
        <w:left w:val="none" w:sz="0" w:space="0" w:color="auto"/>
        <w:bottom w:val="none" w:sz="0" w:space="0" w:color="auto"/>
        <w:right w:val="none" w:sz="0" w:space="0" w:color="auto"/>
      </w:divBdr>
    </w:div>
    <w:div w:id="447046163">
      <w:bodyDiv w:val="1"/>
      <w:marLeft w:val="0"/>
      <w:marRight w:val="0"/>
      <w:marTop w:val="0"/>
      <w:marBottom w:val="0"/>
      <w:divBdr>
        <w:top w:val="none" w:sz="0" w:space="0" w:color="auto"/>
        <w:left w:val="none" w:sz="0" w:space="0" w:color="auto"/>
        <w:bottom w:val="none" w:sz="0" w:space="0" w:color="auto"/>
        <w:right w:val="none" w:sz="0" w:space="0" w:color="auto"/>
      </w:divBdr>
    </w:div>
    <w:div w:id="450705567">
      <w:bodyDiv w:val="1"/>
      <w:marLeft w:val="0"/>
      <w:marRight w:val="0"/>
      <w:marTop w:val="0"/>
      <w:marBottom w:val="0"/>
      <w:divBdr>
        <w:top w:val="none" w:sz="0" w:space="0" w:color="auto"/>
        <w:left w:val="none" w:sz="0" w:space="0" w:color="auto"/>
        <w:bottom w:val="none" w:sz="0" w:space="0" w:color="auto"/>
        <w:right w:val="none" w:sz="0" w:space="0" w:color="auto"/>
      </w:divBdr>
    </w:div>
    <w:div w:id="453408962">
      <w:bodyDiv w:val="1"/>
      <w:marLeft w:val="0"/>
      <w:marRight w:val="0"/>
      <w:marTop w:val="0"/>
      <w:marBottom w:val="0"/>
      <w:divBdr>
        <w:top w:val="none" w:sz="0" w:space="0" w:color="auto"/>
        <w:left w:val="none" w:sz="0" w:space="0" w:color="auto"/>
        <w:bottom w:val="none" w:sz="0" w:space="0" w:color="auto"/>
        <w:right w:val="none" w:sz="0" w:space="0" w:color="auto"/>
      </w:divBdr>
    </w:div>
    <w:div w:id="453839541">
      <w:bodyDiv w:val="1"/>
      <w:marLeft w:val="0"/>
      <w:marRight w:val="0"/>
      <w:marTop w:val="0"/>
      <w:marBottom w:val="0"/>
      <w:divBdr>
        <w:top w:val="none" w:sz="0" w:space="0" w:color="auto"/>
        <w:left w:val="none" w:sz="0" w:space="0" w:color="auto"/>
        <w:bottom w:val="none" w:sz="0" w:space="0" w:color="auto"/>
        <w:right w:val="none" w:sz="0" w:space="0" w:color="auto"/>
      </w:divBdr>
    </w:div>
    <w:div w:id="465465420">
      <w:bodyDiv w:val="1"/>
      <w:marLeft w:val="0"/>
      <w:marRight w:val="0"/>
      <w:marTop w:val="0"/>
      <w:marBottom w:val="0"/>
      <w:divBdr>
        <w:top w:val="none" w:sz="0" w:space="0" w:color="auto"/>
        <w:left w:val="none" w:sz="0" w:space="0" w:color="auto"/>
        <w:bottom w:val="none" w:sz="0" w:space="0" w:color="auto"/>
        <w:right w:val="none" w:sz="0" w:space="0" w:color="auto"/>
      </w:divBdr>
    </w:div>
    <w:div w:id="468281650">
      <w:bodyDiv w:val="1"/>
      <w:marLeft w:val="0"/>
      <w:marRight w:val="0"/>
      <w:marTop w:val="0"/>
      <w:marBottom w:val="0"/>
      <w:divBdr>
        <w:top w:val="none" w:sz="0" w:space="0" w:color="auto"/>
        <w:left w:val="none" w:sz="0" w:space="0" w:color="auto"/>
        <w:bottom w:val="none" w:sz="0" w:space="0" w:color="auto"/>
        <w:right w:val="none" w:sz="0" w:space="0" w:color="auto"/>
      </w:divBdr>
    </w:div>
    <w:div w:id="509680001">
      <w:bodyDiv w:val="1"/>
      <w:marLeft w:val="0"/>
      <w:marRight w:val="0"/>
      <w:marTop w:val="0"/>
      <w:marBottom w:val="0"/>
      <w:divBdr>
        <w:top w:val="none" w:sz="0" w:space="0" w:color="auto"/>
        <w:left w:val="none" w:sz="0" w:space="0" w:color="auto"/>
        <w:bottom w:val="none" w:sz="0" w:space="0" w:color="auto"/>
        <w:right w:val="none" w:sz="0" w:space="0" w:color="auto"/>
      </w:divBdr>
    </w:div>
    <w:div w:id="535393331">
      <w:bodyDiv w:val="1"/>
      <w:marLeft w:val="0"/>
      <w:marRight w:val="0"/>
      <w:marTop w:val="0"/>
      <w:marBottom w:val="0"/>
      <w:divBdr>
        <w:top w:val="none" w:sz="0" w:space="0" w:color="auto"/>
        <w:left w:val="none" w:sz="0" w:space="0" w:color="auto"/>
        <w:bottom w:val="none" w:sz="0" w:space="0" w:color="auto"/>
        <w:right w:val="none" w:sz="0" w:space="0" w:color="auto"/>
      </w:divBdr>
    </w:div>
    <w:div w:id="574514133">
      <w:bodyDiv w:val="1"/>
      <w:marLeft w:val="0"/>
      <w:marRight w:val="0"/>
      <w:marTop w:val="0"/>
      <w:marBottom w:val="0"/>
      <w:divBdr>
        <w:top w:val="none" w:sz="0" w:space="0" w:color="auto"/>
        <w:left w:val="none" w:sz="0" w:space="0" w:color="auto"/>
        <w:bottom w:val="none" w:sz="0" w:space="0" w:color="auto"/>
        <w:right w:val="none" w:sz="0" w:space="0" w:color="auto"/>
      </w:divBdr>
    </w:div>
    <w:div w:id="645165246">
      <w:bodyDiv w:val="1"/>
      <w:marLeft w:val="0"/>
      <w:marRight w:val="0"/>
      <w:marTop w:val="0"/>
      <w:marBottom w:val="0"/>
      <w:divBdr>
        <w:top w:val="none" w:sz="0" w:space="0" w:color="auto"/>
        <w:left w:val="none" w:sz="0" w:space="0" w:color="auto"/>
        <w:bottom w:val="none" w:sz="0" w:space="0" w:color="auto"/>
        <w:right w:val="none" w:sz="0" w:space="0" w:color="auto"/>
      </w:divBdr>
    </w:div>
    <w:div w:id="650788798">
      <w:bodyDiv w:val="1"/>
      <w:marLeft w:val="0"/>
      <w:marRight w:val="0"/>
      <w:marTop w:val="0"/>
      <w:marBottom w:val="0"/>
      <w:divBdr>
        <w:top w:val="none" w:sz="0" w:space="0" w:color="auto"/>
        <w:left w:val="none" w:sz="0" w:space="0" w:color="auto"/>
        <w:bottom w:val="none" w:sz="0" w:space="0" w:color="auto"/>
        <w:right w:val="none" w:sz="0" w:space="0" w:color="auto"/>
      </w:divBdr>
    </w:div>
    <w:div w:id="707871328">
      <w:bodyDiv w:val="1"/>
      <w:marLeft w:val="0"/>
      <w:marRight w:val="0"/>
      <w:marTop w:val="0"/>
      <w:marBottom w:val="0"/>
      <w:divBdr>
        <w:top w:val="none" w:sz="0" w:space="0" w:color="auto"/>
        <w:left w:val="none" w:sz="0" w:space="0" w:color="auto"/>
        <w:bottom w:val="none" w:sz="0" w:space="0" w:color="auto"/>
        <w:right w:val="none" w:sz="0" w:space="0" w:color="auto"/>
      </w:divBdr>
    </w:div>
    <w:div w:id="709109554">
      <w:bodyDiv w:val="1"/>
      <w:marLeft w:val="0"/>
      <w:marRight w:val="0"/>
      <w:marTop w:val="0"/>
      <w:marBottom w:val="0"/>
      <w:divBdr>
        <w:top w:val="none" w:sz="0" w:space="0" w:color="auto"/>
        <w:left w:val="none" w:sz="0" w:space="0" w:color="auto"/>
        <w:bottom w:val="none" w:sz="0" w:space="0" w:color="auto"/>
        <w:right w:val="none" w:sz="0" w:space="0" w:color="auto"/>
      </w:divBdr>
    </w:div>
    <w:div w:id="714743642">
      <w:bodyDiv w:val="1"/>
      <w:marLeft w:val="0"/>
      <w:marRight w:val="0"/>
      <w:marTop w:val="0"/>
      <w:marBottom w:val="0"/>
      <w:divBdr>
        <w:top w:val="none" w:sz="0" w:space="0" w:color="auto"/>
        <w:left w:val="none" w:sz="0" w:space="0" w:color="auto"/>
        <w:bottom w:val="none" w:sz="0" w:space="0" w:color="auto"/>
        <w:right w:val="none" w:sz="0" w:space="0" w:color="auto"/>
      </w:divBdr>
    </w:div>
    <w:div w:id="745540983">
      <w:bodyDiv w:val="1"/>
      <w:marLeft w:val="0"/>
      <w:marRight w:val="0"/>
      <w:marTop w:val="0"/>
      <w:marBottom w:val="0"/>
      <w:divBdr>
        <w:top w:val="none" w:sz="0" w:space="0" w:color="auto"/>
        <w:left w:val="none" w:sz="0" w:space="0" w:color="auto"/>
        <w:bottom w:val="none" w:sz="0" w:space="0" w:color="auto"/>
        <w:right w:val="none" w:sz="0" w:space="0" w:color="auto"/>
      </w:divBdr>
    </w:div>
    <w:div w:id="808059041">
      <w:bodyDiv w:val="1"/>
      <w:marLeft w:val="0"/>
      <w:marRight w:val="0"/>
      <w:marTop w:val="0"/>
      <w:marBottom w:val="0"/>
      <w:divBdr>
        <w:top w:val="none" w:sz="0" w:space="0" w:color="auto"/>
        <w:left w:val="none" w:sz="0" w:space="0" w:color="auto"/>
        <w:bottom w:val="none" w:sz="0" w:space="0" w:color="auto"/>
        <w:right w:val="none" w:sz="0" w:space="0" w:color="auto"/>
      </w:divBdr>
    </w:div>
    <w:div w:id="811361548">
      <w:bodyDiv w:val="1"/>
      <w:marLeft w:val="0"/>
      <w:marRight w:val="0"/>
      <w:marTop w:val="0"/>
      <w:marBottom w:val="0"/>
      <w:divBdr>
        <w:top w:val="none" w:sz="0" w:space="0" w:color="auto"/>
        <w:left w:val="none" w:sz="0" w:space="0" w:color="auto"/>
        <w:bottom w:val="none" w:sz="0" w:space="0" w:color="auto"/>
        <w:right w:val="none" w:sz="0" w:space="0" w:color="auto"/>
      </w:divBdr>
    </w:div>
    <w:div w:id="837886208">
      <w:bodyDiv w:val="1"/>
      <w:marLeft w:val="0"/>
      <w:marRight w:val="0"/>
      <w:marTop w:val="0"/>
      <w:marBottom w:val="0"/>
      <w:divBdr>
        <w:top w:val="none" w:sz="0" w:space="0" w:color="auto"/>
        <w:left w:val="none" w:sz="0" w:space="0" w:color="auto"/>
        <w:bottom w:val="none" w:sz="0" w:space="0" w:color="auto"/>
        <w:right w:val="none" w:sz="0" w:space="0" w:color="auto"/>
      </w:divBdr>
    </w:div>
    <w:div w:id="871570999">
      <w:bodyDiv w:val="1"/>
      <w:marLeft w:val="0"/>
      <w:marRight w:val="0"/>
      <w:marTop w:val="0"/>
      <w:marBottom w:val="0"/>
      <w:divBdr>
        <w:top w:val="none" w:sz="0" w:space="0" w:color="auto"/>
        <w:left w:val="none" w:sz="0" w:space="0" w:color="auto"/>
        <w:bottom w:val="none" w:sz="0" w:space="0" w:color="auto"/>
        <w:right w:val="none" w:sz="0" w:space="0" w:color="auto"/>
      </w:divBdr>
    </w:div>
    <w:div w:id="987369121">
      <w:bodyDiv w:val="1"/>
      <w:marLeft w:val="0"/>
      <w:marRight w:val="0"/>
      <w:marTop w:val="0"/>
      <w:marBottom w:val="0"/>
      <w:divBdr>
        <w:top w:val="none" w:sz="0" w:space="0" w:color="auto"/>
        <w:left w:val="none" w:sz="0" w:space="0" w:color="auto"/>
        <w:bottom w:val="none" w:sz="0" w:space="0" w:color="auto"/>
        <w:right w:val="none" w:sz="0" w:space="0" w:color="auto"/>
      </w:divBdr>
    </w:div>
    <w:div w:id="1004822368">
      <w:bodyDiv w:val="1"/>
      <w:marLeft w:val="0"/>
      <w:marRight w:val="0"/>
      <w:marTop w:val="0"/>
      <w:marBottom w:val="0"/>
      <w:divBdr>
        <w:top w:val="none" w:sz="0" w:space="0" w:color="auto"/>
        <w:left w:val="none" w:sz="0" w:space="0" w:color="auto"/>
        <w:bottom w:val="none" w:sz="0" w:space="0" w:color="auto"/>
        <w:right w:val="none" w:sz="0" w:space="0" w:color="auto"/>
      </w:divBdr>
    </w:div>
    <w:div w:id="1033766272">
      <w:bodyDiv w:val="1"/>
      <w:marLeft w:val="0"/>
      <w:marRight w:val="0"/>
      <w:marTop w:val="0"/>
      <w:marBottom w:val="0"/>
      <w:divBdr>
        <w:top w:val="none" w:sz="0" w:space="0" w:color="auto"/>
        <w:left w:val="none" w:sz="0" w:space="0" w:color="auto"/>
        <w:bottom w:val="none" w:sz="0" w:space="0" w:color="auto"/>
        <w:right w:val="none" w:sz="0" w:space="0" w:color="auto"/>
      </w:divBdr>
    </w:div>
    <w:div w:id="1062023289">
      <w:bodyDiv w:val="1"/>
      <w:marLeft w:val="0"/>
      <w:marRight w:val="0"/>
      <w:marTop w:val="0"/>
      <w:marBottom w:val="0"/>
      <w:divBdr>
        <w:top w:val="none" w:sz="0" w:space="0" w:color="auto"/>
        <w:left w:val="none" w:sz="0" w:space="0" w:color="auto"/>
        <w:bottom w:val="none" w:sz="0" w:space="0" w:color="auto"/>
        <w:right w:val="none" w:sz="0" w:space="0" w:color="auto"/>
      </w:divBdr>
    </w:div>
    <w:div w:id="1115058454">
      <w:bodyDiv w:val="1"/>
      <w:marLeft w:val="0"/>
      <w:marRight w:val="0"/>
      <w:marTop w:val="0"/>
      <w:marBottom w:val="0"/>
      <w:divBdr>
        <w:top w:val="none" w:sz="0" w:space="0" w:color="auto"/>
        <w:left w:val="none" w:sz="0" w:space="0" w:color="auto"/>
        <w:bottom w:val="none" w:sz="0" w:space="0" w:color="auto"/>
        <w:right w:val="none" w:sz="0" w:space="0" w:color="auto"/>
      </w:divBdr>
    </w:div>
    <w:div w:id="1147166121">
      <w:bodyDiv w:val="1"/>
      <w:marLeft w:val="0"/>
      <w:marRight w:val="0"/>
      <w:marTop w:val="0"/>
      <w:marBottom w:val="0"/>
      <w:divBdr>
        <w:top w:val="none" w:sz="0" w:space="0" w:color="auto"/>
        <w:left w:val="none" w:sz="0" w:space="0" w:color="auto"/>
        <w:bottom w:val="none" w:sz="0" w:space="0" w:color="auto"/>
        <w:right w:val="none" w:sz="0" w:space="0" w:color="auto"/>
      </w:divBdr>
    </w:div>
    <w:div w:id="1153447073">
      <w:bodyDiv w:val="1"/>
      <w:marLeft w:val="0"/>
      <w:marRight w:val="0"/>
      <w:marTop w:val="0"/>
      <w:marBottom w:val="0"/>
      <w:divBdr>
        <w:top w:val="none" w:sz="0" w:space="0" w:color="auto"/>
        <w:left w:val="none" w:sz="0" w:space="0" w:color="auto"/>
        <w:bottom w:val="none" w:sz="0" w:space="0" w:color="auto"/>
        <w:right w:val="none" w:sz="0" w:space="0" w:color="auto"/>
      </w:divBdr>
    </w:div>
    <w:div w:id="1159076048">
      <w:bodyDiv w:val="1"/>
      <w:marLeft w:val="0"/>
      <w:marRight w:val="0"/>
      <w:marTop w:val="0"/>
      <w:marBottom w:val="0"/>
      <w:divBdr>
        <w:top w:val="none" w:sz="0" w:space="0" w:color="auto"/>
        <w:left w:val="none" w:sz="0" w:space="0" w:color="auto"/>
        <w:bottom w:val="none" w:sz="0" w:space="0" w:color="auto"/>
        <w:right w:val="none" w:sz="0" w:space="0" w:color="auto"/>
      </w:divBdr>
    </w:div>
    <w:div w:id="1170869266">
      <w:bodyDiv w:val="1"/>
      <w:marLeft w:val="0"/>
      <w:marRight w:val="0"/>
      <w:marTop w:val="0"/>
      <w:marBottom w:val="0"/>
      <w:divBdr>
        <w:top w:val="none" w:sz="0" w:space="0" w:color="auto"/>
        <w:left w:val="none" w:sz="0" w:space="0" w:color="auto"/>
        <w:bottom w:val="none" w:sz="0" w:space="0" w:color="auto"/>
        <w:right w:val="none" w:sz="0" w:space="0" w:color="auto"/>
      </w:divBdr>
    </w:div>
    <w:div w:id="1212694796">
      <w:bodyDiv w:val="1"/>
      <w:marLeft w:val="0"/>
      <w:marRight w:val="0"/>
      <w:marTop w:val="0"/>
      <w:marBottom w:val="0"/>
      <w:divBdr>
        <w:top w:val="none" w:sz="0" w:space="0" w:color="auto"/>
        <w:left w:val="none" w:sz="0" w:space="0" w:color="auto"/>
        <w:bottom w:val="none" w:sz="0" w:space="0" w:color="auto"/>
        <w:right w:val="none" w:sz="0" w:space="0" w:color="auto"/>
      </w:divBdr>
    </w:div>
    <w:div w:id="1250887526">
      <w:bodyDiv w:val="1"/>
      <w:marLeft w:val="0"/>
      <w:marRight w:val="0"/>
      <w:marTop w:val="0"/>
      <w:marBottom w:val="0"/>
      <w:divBdr>
        <w:top w:val="none" w:sz="0" w:space="0" w:color="auto"/>
        <w:left w:val="none" w:sz="0" w:space="0" w:color="auto"/>
        <w:bottom w:val="none" w:sz="0" w:space="0" w:color="auto"/>
        <w:right w:val="none" w:sz="0" w:space="0" w:color="auto"/>
      </w:divBdr>
    </w:div>
    <w:div w:id="1260987889">
      <w:bodyDiv w:val="1"/>
      <w:marLeft w:val="0"/>
      <w:marRight w:val="0"/>
      <w:marTop w:val="0"/>
      <w:marBottom w:val="0"/>
      <w:divBdr>
        <w:top w:val="none" w:sz="0" w:space="0" w:color="auto"/>
        <w:left w:val="none" w:sz="0" w:space="0" w:color="auto"/>
        <w:bottom w:val="none" w:sz="0" w:space="0" w:color="auto"/>
        <w:right w:val="none" w:sz="0" w:space="0" w:color="auto"/>
      </w:divBdr>
    </w:div>
    <w:div w:id="1290892014">
      <w:bodyDiv w:val="1"/>
      <w:marLeft w:val="0"/>
      <w:marRight w:val="0"/>
      <w:marTop w:val="0"/>
      <w:marBottom w:val="0"/>
      <w:divBdr>
        <w:top w:val="none" w:sz="0" w:space="0" w:color="auto"/>
        <w:left w:val="none" w:sz="0" w:space="0" w:color="auto"/>
        <w:bottom w:val="none" w:sz="0" w:space="0" w:color="auto"/>
        <w:right w:val="none" w:sz="0" w:space="0" w:color="auto"/>
      </w:divBdr>
    </w:div>
    <w:div w:id="1293753639">
      <w:bodyDiv w:val="1"/>
      <w:marLeft w:val="0"/>
      <w:marRight w:val="0"/>
      <w:marTop w:val="0"/>
      <w:marBottom w:val="0"/>
      <w:divBdr>
        <w:top w:val="none" w:sz="0" w:space="0" w:color="auto"/>
        <w:left w:val="none" w:sz="0" w:space="0" w:color="auto"/>
        <w:bottom w:val="none" w:sz="0" w:space="0" w:color="auto"/>
        <w:right w:val="none" w:sz="0" w:space="0" w:color="auto"/>
      </w:divBdr>
    </w:div>
    <w:div w:id="1307130895">
      <w:bodyDiv w:val="1"/>
      <w:marLeft w:val="0"/>
      <w:marRight w:val="0"/>
      <w:marTop w:val="0"/>
      <w:marBottom w:val="0"/>
      <w:divBdr>
        <w:top w:val="none" w:sz="0" w:space="0" w:color="auto"/>
        <w:left w:val="none" w:sz="0" w:space="0" w:color="auto"/>
        <w:bottom w:val="none" w:sz="0" w:space="0" w:color="auto"/>
        <w:right w:val="none" w:sz="0" w:space="0" w:color="auto"/>
      </w:divBdr>
    </w:div>
    <w:div w:id="1331836808">
      <w:bodyDiv w:val="1"/>
      <w:marLeft w:val="0"/>
      <w:marRight w:val="0"/>
      <w:marTop w:val="0"/>
      <w:marBottom w:val="0"/>
      <w:divBdr>
        <w:top w:val="none" w:sz="0" w:space="0" w:color="auto"/>
        <w:left w:val="none" w:sz="0" w:space="0" w:color="auto"/>
        <w:bottom w:val="none" w:sz="0" w:space="0" w:color="auto"/>
        <w:right w:val="none" w:sz="0" w:space="0" w:color="auto"/>
      </w:divBdr>
    </w:div>
    <w:div w:id="1336570584">
      <w:bodyDiv w:val="1"/>
      <w:marLeft w:val="0"/>
      <w:marRight w:val="0"/>
      <w:marTop w:val="0"/>
      <w:marBottom w:val="0"/>
      <w:divBdr>
        <w:top w:val="none" w:sz="0" w:space="0" w:color="auto"/>
        <w:left w:val="none" w:sz="0" w:space="0" w:color="auto"/>
        <w:bottom w:val="none" w:sz="0" w:space="0" w:color="auto"/>
        <w:right w:val="none" w:sz="0" w:space="0" w:color="auto"/>
      </w:divBdr>
    </w:div>
    <w:div w:id="1368095327">
      <w:bodyDiv w:val="1"/>
      <w:marLeft w:val="0"/>
      <w:marRight w:val="0"/>
      <w:marTop w:val="0"/>
      <w:marBottom w:val="0"/>
      <w:divBdr>
        <w:top w:val="none" w:sz="0" w:space="0" w:color="auto"/>
        <w:left w:val="none" w:sz="0" w:space="0" w:color="auto"/>
        <w:bottom w:val="none" w:sz="0" w:space="0" w:color="auto"/>
        <w:right w:val="none" w:sz="0" w:space="0" w:color="auto"/>
      </w:divBdr>
    </w:div>
    <w:div w:id="1374647439">
      <w:bodyDiv w:val="1"/>
      <w:marLeft w:val="0"/>
      <w:marRight w:val="0"/>
      <w:marTop w:val="0"/>
      <w:marBottom w:val="0"/>
      <w:divBdr>
        <w:top w:val="none" w:sz="0" w:space="0" w:color="auto"/>
        <w:left w:val="none" w:sz="0" w:space="0" w:color="auto"/>
        <w:bottom w:val="none" w:sz="0" w:space="0" w:color="auto"/>
        <w:right w:val="none" w:sz="0" w:space="0" w:color="auto"/>
      </w:divBdr>
    </w:div>
    <w:div w:id="1378122598">
      <w:bodyDiv w:val="1"/>
      <w:marLeft w:val="0"/>
      <w:marRight w:val="0"/>
      <w:marTop w:val="0"/>
      <w:marBottom w:val="0"/>
      <w:divBdr>
        <w:top w:val="none" w:sz="0" w:space="0" w:color="auto"/>
        <w:left w:val="none" w:sz="0" w:space="0" w:color="auto"/>
        <w:bottom w:val="none" w:sz="0" w:space="0" w:color="auto"/>
        <w:right w:val="none" w:sz="0" w:space="0" w:color="auto"/>
      </w:divBdr>
    </w:div>
    <w:div w:id="1406103520">
      <w:bodyDiv w:val="1"/>
      <w:marLeft w:val="0"/>
      <w:marRight w:val="0"/>
      <w:marTop w:val="0"/>
      <w:marBottom w:val="0"/>
      <w:divBdr>
        <w:top w:val="none" w:sz="0" w:space="0" w:color="auto"/>
        <w:left w:val="none" w:sz="0" w:space="0" w:color="auto"/>
        <w:bottom w:val="none" w:sz="0" w:space="0" w:color="auto"/>
        <w:right w:val="none" w:sz="0" w:space="0" w:color="auto"/>
      </w:divBdr>
    </w:div>
    <w:div w:id="1422413640">
      <w:bodyDiv w:val="1"/>
      <w:marLeft w:val="0"/>
      <w:marRight w:val="0"/>
      <w:marTop w:val="0"/>
      <w:marBottom w:val="0"/>
      <w:divBdr>
        <w:top w:val="none" w:sz="0" w:space="0" w:color="auto"/>
        <w:left w:val="none" w:sz="0" w:space="0" w:color="auto"/>
        <w:bottom w:val="none" w:sz="0" w:space="0" w:color="auto"/>
        <w:right w:val="none" w:sz="0" w:space="0" w:color="auto"/>
      </w:divBdr>
    </w:div>
    <w:div w:id="1428847983">
      <w:bodyDiv w:val="1"/>
      <w:marLeft w:val="0"/>
      <w:marRight w:val="0"/>
      <w:marTop w:val="0"/>
      <w:marBottom w:val="0"/>
      <w:divBdr>
        <w:top w:val="none" w:sz="0" w:space="0" w:color="auto"/>
        <w:left w:val="none" w:sz="0" w:space="0" w:color="auto"/>
        <w:bottom w:val="none" w:sz="0" w:space="0" w:color="auto"/>
        <w:right w:val="none" w:sz="0" w:space="0" w:color="auto"/>
      </w:divBdr>
    </w:div>
    <w:div w:id="1450657886">
      <w:bodyDiv w:val="1"/>
      <w:marLeft w:val="0"/>
      <w:marRight w:val="0"/>
      <w:marTop w:val="0"/>
      <w:marBottom w:val="0"/>
      <w:divBdr>
        <w:top w:val="none" w:sz="0" w:space="0" w:color="auto"/>
        <w:left w:val="none" w:sz="0" w:space="0" w:color="auto"/>
        <w:bottom w:val="none" w:sz="0" w:space="0" w:color="auto"/>
        <w:right w:val="none" w:sz="0" w:space="0" w:color="auto"/>
      </w:divBdr>
    </w:div>
    <w:div w:id="1455249808">
      <w:bodyDiv w:val="1"/>
      <w:marLeft w:val="0"/>
      <w:marRight w:val="0"/>
      <w:marTop w:val="0"/>
      <w:marBottom w:val="0"/>
      <w:divBdr>
        <w:top w:val="none" w:sz="0" w:space="0" w:color="auto"/>
        <w:left w:val="none" w:sz="0" w:space="0" w:color="auto"/>
        <w:bottom w:val="none" w:sz="0" w:space="0" w:color="auto"/>
        <w:right w:val="none" w:sz="0" w:space="0" w:color="auto"/>
      </w:divBdr>
    </w:div>
    <w:div w:id="1455365008">
      <w:bodyDiv w:val="1"/>
      <w:marLeft w:val="0"/>
      <w:marRight w:val="0"/>
      <w:marTop w:val="0"/>
      <w:marBottom w:val="0"/>
      <w:divBdr>
        <w:top w:val="none" w:sz="0" w:space="0" w:color="auto"/>
        <w:left w:val="none" w:sz="0" w:space="0" w:color="auto"/>
        <w:bottom w:val="none" w:sz="0" w:space="0" w:color="auto"/>
        <w:right w:val="none" w:sz="0" w:space="0" w:color="auto"/>
      </w:divBdr>
    </w:div>
    <w:div w:id="1457868718">
      <w:bodyDiv w:val="1"/>
      <w:marLeft w:val="0"/>
      <w:marRight w:val="0"/>
      <w:marTop w:val="0"/>
      <w:marBottom w:val="0"/>
      <w:divBdr>
        <w:top w:val="none" w:sz="0" w:space="0" w:color="auto"/>
        <w:left w:val="none" w:sz="0" w:space="0" w:color="auto"/>
        <w:bottom w:val="none" w:sz="0" w:space="0" w:color="auto"/>
        <w:right w:val="none" w:sz="0" w:space="0" w:color="auto"/>
      </w:divBdr>
    </w:div>
    <w:div w:id="1466695879">
      <w:bodyDiv w:val="1"/>
      <w:marLeft w:val="0"/>
      <w:marRight w:val="0"/>
      <w:marTop w:val="0"/>
      <w:marBottom w:val="0"/>
      <w:divBdr>
        <w:top w:val="none" w:sz="0" w:space="0" w:color="auto"/>
        <w:left w:val="none" w:sz="0" w:space="0" w:color="auto"/>
        <w:bottom w:val="none" w:sz="0" w:space="0" w:color="auto"/>
        <w:right w:val="none" w:sz="0" w:space="0" w:color="auto"/>
      </w:divBdr>
    </w:div>
    <w:div w:id="1504203765">
      <w:bodyDiv w:val="1"/>
      <w:marLeft w:val="0"/>
      <w:marRight w:val="0"/>
      <w:marTop w:val="0"/>
      <w:marBottom w:val="0"/>
      <w:divBdr>
        <w:top w:val="none" w:sz="0" w:space="0" w:color="auto"/>
        <w:left w:val="none" w:sz="0" w:space="0" w:color="auto"/>
        <w:bottom w:val="none" w:sz="0" w:space="0" w:color="auto"/>
        <w:right w:val="none" w:sz="0" w:space="0" w:color="auto"/>
      </w:divBdr>
    </w:div>
    <w:div w:id="1552034532">
      <w:bodyDiv w:val="1"/>
      <w:marLeft w:val="0"/>
      <w:marRight w:val="0"/>
      <w:marTop w:val="0"/>
      <w:marBottom w:val="0"/>
      <w:divBdr>
        <w:top w:val="none" w:sz="0" w:space="0" w:color="auto"/>
        <w:left w:val="none" w:sz="0" w:space="0" w:color="auto"/>
        <w:bottom w:val="none" w:sz="0" w:space="0" w:color="auto"/>
        <w:right w:val="none" w:sz="0" w:space="0" w:color="auto"/>
      </w:divBdr>
    </w:div>
    <w:div w:id="1605502858">
      <w:bodyDiv w:val="1"/>
      <w:marLeft w:val="0"/>
      <w:marRight w:val="0"/>
      <w:marTop w:val="0"/>
      <w:marBottom w:val="0"/>
      <w:divBdr>
        <w:top w:val="none" w:sz="0" w:space="0" w:color="auto"/>
        <w:left w:val="none" w:sz="0" w:space="0" w:color="auto"/>
        <w:bottom w:val="none" w:sz="0" w:space="0" w:color="auto"/>
        <w:right w:val="none" w:sz="0" w:space="0" w:color="auto"/>
      </w:divBdr>
    </w:div>
    <w:div w:id="1644499775">
      <w:bodyDiv w:val="1"/>
      <w:marLeft w:val="0"/>
      <w:marRight w:val="0"/>
      <w:marTop w:val="0"/>
      <w:marBottom w:val="0"/>
      <w:divBdr>
        <w:top w:val="none" w:sz="0" w:space="0" w:color="auto"/>
        <w:left w:val="none" w:sz="0" w:space="0" w:color="auto"/>
        <w:bottom w:val="none" w:sz="0" w:space="0" w:color="auto"/>
        <w:right w:val="none" w:sz="0" w:space="0" w:color="auto"/>
      </w:divBdr>
    </w:div>
    <w:div w:id="1679892926">
      <w:bodyDiv w:val="1"/>
      <w:marLeft w:val="0"/>
      <w:marRight w:val="0"/>
      <w:marTop w:val="0"/>
      <w:marBottom w:val="0"/>
      <w:divBdr>
        <w:top w:val="none" w:sz="0" w:space="0" w:color="auto"/>
        <w:left w:val="none" w:sz="0" w:space="0" w:color="auto"/>
        <w:bottom w:val="none" w:sz="0" w:space="0" w:color="auto"/>
        <w:right w:val="none" w:sz="0" w:space="0" w:color="auto"/>
      </w:divBdr>
    </w:div>
    <w:div w:id="1759279950">
      <w:bodyDiv w:val="1"/>
      <w:marLeft w:val="0"/>
      <w:marRight w:val="0"/>
      <w:marTop w:val="0"/>
      <w:marBottom w:val="0"/>
      <w:divBdr>
        <w:top w:val="none" w:sz="0" w:space="0" w:color="auto"/>
        <w:left w:val="none" w:sz="0" w:space="0" w:color="auto"/>
        <w:bottom w:val="none" w:sz="0" w:space="0" w:color="auto"/>
        <w:right w:val="none" w:sz="0" w:space="0" w:color="auto"/>
      </w:divBdr>
    </w:div>
    <w:div w:id="1774666003">
      <w:bodyDiv w:val="1"/>
      <w:marLeft w:val="0"/>
      <w:marRight w:val="0"/>
      <w:marTop w:val="0"/>
      <w:marBottom w:val="0"/>
      <w:divBdr>
        <w:top w:val="none" w:sz="0" w:space="0" w:color="auto"/>
        <w:left w:val="none" w:sz="0" w:space="0" w:color="auto"/>
        <w:bottom w:val="none" w:sz="0" w:space="0" w:color="auto"/>
        <w:right w:val="none" w:sz="0" w:space="0" w:color="auto"/>
      </w:divBdr>
    </w:div>
    <w:div w:id="1804230769">
      <w:bodyDiv w:val="1"/>
      <w:marLeft w:val="0"/>
      <w:marRight w:val="0"/>
      <w:marTop w:val="0"/>
      <w:marBottom w:val="0"/>
      <w:divBdr>
        <w:top w:val="none" w:sz="0" w:space="0" w:color="auto"/>
        <w:left w:val="none" w:sz="0" w:space="0" w:color="auto"/>
        <w:bottom w:val="none" w:sz="0" w:space="0" w:color="auto"/>
        <w:right w:val="none" w:sz="0" w:space="0" w:color="auto"/>
      </w:divBdr>
    </w:div>
    <w:div w:id="1805467172">
      <w:bodyDiv w:val="1"/>
      <w:marLeft w:val="0"/>
      <w:marRight w:val="0"/>
      <w:marTop w:val="0"/>
      <w:marBottom w:val="0"/>
      <w:divBdr>
        <w:top w:val="none" w:sz="0" w:space="0" w:color="auto"/>
        <w:left w:val="none" w:sz="0" w:space="0" w:color="auto"/>
        <w:bottom w:val="none" w:sz="0" w:space="0" w:color="auto"/>
        <w:right w:val="none" w:sz="0" w:space="0" w:color="auto"/>
      </w:divBdr>
    </w:div>
    <w:div w:id="1865055081">
      <w:bodyDiv w:val="1"/>
      <w:marLeft w:val="0"/>
      <w:marRight w:val="0"/>
      <w:marTop w:val="0"/>
      <w:marBottom w:val="0"/>
      <w:divBdr>
        <w:top w:val="none" w:sz="0" w:space="0" w:color="auto"/>
        <w:left w:val="none" w:sz="0" w:space="0" w:color="auto"/>
        <w:bottom w:val="none" w:sz="0" w:space="0" w:color="auto"/>
        <w:right w:val="none" w:sz="0" w:space="0" w:color="auto"/>
      </w:divBdr>
    </w:div>
    <w:div w:id="1881281864">
      <w:bodyDiv w:val="1"/>
      <w:marLeft w:val="0"/>
      <w:marRight w:val="0"/>
      <w:marTop w:val="0"/>
      <w:marBottom w:val="0"/>
      <w:divBdr>
        <w:top w:val="none" w:sz="0" w:space="0" w:color="auto"/>
        <w:left w:val="none" w:sz="0" w:space="0" w:color="auto"/>
        <w:bottom w:val="none" w:sz="0" w:space="0" w:color="auto"/>
        <w:right w:val="none" w:sz="0" w:space="0" w:color="auto"/>
      </w:divBdr>
    </w:div>
    <w:div w:id="1926379327">
      <w:bodyDiv w:val="1"/>
      <w:marLeft w:val="0"/>
      <w:marRight w:val="0"/>
      <w:marTop w:val="0"/>
      <w:marBottom w:val="0"/>
      <w:divBdr>
        <w:top w:val="none" w:sz="0" w:space="0" w:color="auto"/>
        <w:left w:val="none" w:sz="0" w:space="0" w:color="auto"/>
        <w:bottom w:val="none" w:sz="0" w:space="0" w:color="auto"/>
        <w:right w:val="none" w:sz="0" w:space="0" w:color="auto"/>
      </w:divBdr>
    </w:div>
    <w:div w:id="1966111933">
      <w:bodyDiv w:val="1"/>
      <w:marLeft w:val="0"/>
      <w:marRight w:val="0"/>
      <w:marTop w:val="0"/>
      <w:marBottom w:val="0"/>
      <w:divBdr>
        <w:top w:val="none" w:sz="0" w:space="0" w:color="auto"/>
        <w:left w:val="none" w:sz="0" w:space="0" w:color="auto"/>
        <w:bottom w:val="none" w:sz="0" w:space="0" w:color="auto"/>
        <w:right w:val="none" w:sz="0" w:space="0" w:color="auto"/>
      </w:divBdr>
    </w:div>
    <w:div w:id="1972175719">
      <w:bodyDiv w:val="1"/>
      <w:marLeft w:val="0"/>
      <w:marRight w:val="0"/>
      <w:marTop w:val="0"/>
      <w:marBottom w:val="0"/>
      <w:divBdr>
        <w:top w:val="none" w:sz="0" w:space="0" w:color="auto"/>
        <w:left w:val="none" w:sz="0" w:space="0" w:color="auto"/>
        <w:bottom w:val="none" w:sz="0" w:space="0" w:color="auto"/>
        <w:right w:val="none" w:sz="0" w:space="0" w:color="auto"/>
      </w:divBdr>
    </w:div>
    <w:div w:id="2015064225">
      <w:bodyDiv w:val="1"/>
      <w:marLeft w:val="0"/>
      <w:marRight w:val="0"/>
      <w:marTop w:val="0"/>
      <w:marBottom w:val="0"/>
      <w:divBdr>
        <w:top w:val="none" w:sz="0" w:space="0" w:color="auto"/>
        <w:left w:val="none" w:sz="0" w:space="0" w:color="auto"/>
        <w:bottom w:val="none" w:sz="0" w:space="0" w:color="auto"/>
        <w:right w:val="none" w:sz="0" w:space="0" w:color="auto"/>
      </w:divBdr>
    </w:div>
    <w:div w:id="2022000028">
      <w:bodyDiv w:val="1"/>
      <w:marLeft w:val="0"/>
      <w:marRight w:val="0"/>
      <w:marTop w:val="0"/>
      <w:marBottom w:val="0"/>
      <w:divBdr>
        <w:top w:val="none" w:sz="0" w:space="0" w:color="auto"/>
        <w:left w:val="none" w:sz="0" w:space="0" w:color="auto"/>
        <w:bottom w:val="none" w:sz="0" w:space="0" w:color="auto"/>
        <w:right w:val="none" w:sz="0" w:space="0" w:color="auto"/>
      </w:divBdr>
    </w:div>
    <w:div w:id="2059162491">
      <w:bodyDiv w:val="1"/>
      <w:marLeft w:val="0"/>
      <w:marRight w:val="0"/>
      <w:marTop w:val="0"/>
      <w:marBottom w:val="0"/>
      <w:divBdr>
        <w:top w:val="none" w:sz="0" w:space="0" w:color="auto"/>
        <w:left w:val="none" w:sz="0" w:space="0" w:color="auto"/>
        <w:bottom w:val="none" w:sz="0" w:space="0" w:color="auto"/>
        <w:right w:val="none" w:sz="0" w:space="0" w:color="auto"/>
      </w:divBdr>
    </w:div>
    <w:div w:id="2081950029">
      <w:bodyDiv w:val="1"/>
      <w:marLeft w:val="0"/>
      <w:marRight w:val="0"/>
      <w:marTop w:val="0"/>
      <w:marBottom w:val="0"/>
      <w:divBdr>
        <w:top w:val="none" w:sz="0" w:space="0" w:color="auto"/>
        <w:left w:val="none" w:sz="0" w:space="0" w:color="auto"/>
        <w:bottom w:val="none" w:sz="0" w:space="0" w:color="auto"/>
        <w:right w:val="none" w:sz="0" w:space="0" w:color="auto"/>
      </w:divBdr>
    </w:div>
    <w:div w:id="2085562556">
      <w:bodyDiv w:val="1"/>
      <w:marLeft w:val="0"/>
      <w:marRight w:val="0"/>
      <w:marTop w:val="0"/>
      <w:marBottom w:val="0"/>
      <w:divBdr>
        <w:top w:val="none" w:sz="0" w:space="0" w:color="auto"/>
        <w:left w:val="none" w:sz="0" w:space="0" w:color="auto"/>
        <w:bottom w:val="none" w:sz="0" w:space="0" w:color="auto"/>
        <w:right w:val="none" w:sz="0" w:space="0" w:color="auto"/>
      </w:divBdr>
    </w:div>
    <w:div w:id="2141419061">
      <w:bodyDiv w:val="1"/>
      <w:marLeft w:val="0"/>
      <w:marRight w:val="0"/>
      <w:marTop w:val="0"/>
      <w:marBottom w:val="0"/>
      <w:divBdr>
        <w:top w:val="none" w:sz="0" w:space="0" w:color="auto"/>
        <w:left w:val="none" w:sz="0" w:space="0" w:color="auto"/>
        <w:bottom w:val="none" w:sz="0" w:space="0" w:color="auto"/>
        <w:right w:val="none" w:sz="0" w:space="0" w:color="auto"/>
      </w:divBdr>
    </w:div>
    <w:div w:id="21425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rkelmi\AppData\Local\Microsoft\Windows\INetCache\Content.Outlook\4761TQA8\tabela%2022a%20-%20Pregled%20naplate%20prihoda%20od%20akciza%20-%20Decembar%20202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spodjela\Desktop\3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sng" strike="noStrike" baseline="0">
                <a:solidFill>
                  <a:srgbClr val="333333"/>
                </a:solidFill>
                <a:latin typeface="Calibri"/>
                <a:ea typeface="Calibri"/>
                <a:cs typeface="Calibri"/>
              </a:defRPr>
            </a:pPr>
            <a:r>
              <a:rPr lang="sr-Latn-BA"/>
              <a:t>Udio pojedinih vrsta prihoda u ukupnim prihodima UIO u periodu januar-decembar 2022. godine</a:t>
            </a:r>
          </a:p>
        </c:rich>
      </c:tx>
      <c:layout>
        <c:manualLayout>
          <c:xMode val="edge"/>
          <c:yMode val="edge"/>
          <c:x val="0.11297311973934293"/>
          <c:y val="1.4697218603070298E-2"/>
        </c:manualLayout>
      </c:layout>
      <c:overlay val="0"/>
      <c:spPr>
        <a:noFill/>
        <a:ln w="25400">
          <a:noFill/>
        </a:ln>
      </c:spPr>
    </c:title>
    <c:autoTitleDeleted val="0"/>
    <c:view3D>
      <c:rotX val="30"/>
      <c:rotY val="255"/>
      <c:rAngAx val="0"/>
      <c:perspective val="0"/>
    </c:view3D>
    <c:floor>
      <c:thickness val="0"/>
    </c:floor>
    <c:sideWall>
      <c:thickness val="0"/>
    </c:sideWall>
    <c:backWall>
      <c:thickness val="0"/>
    </c:backWall>
    <c:plotArea>
      <c:layout>
        <c:manualLayout>
          <c:layoutTarget val="inner"/>
          <c:xMode val="edge"/>
          <c:yMode val="edge"/>
          <c:x val="9.4713694587214639E-2"/>
          <c:y val="0.13769123783031992"/>
          <c:w val="0.83259945474342167"/>
          <c:h val="0.65646731571627259"/>
        </c:manualLayout>
      </c:layout>
      <c:pie3DChart>
        <c:varyColors val="1"/>
        <c:ser>
          <c:idx val="0"/>
          <c:order val="0"/>
          <c:explosion val="1"/>
          <c:dPt>
            <c:idx val="0"/>
            <c:bubble3D val="0"/>
            <c:spPr>
              <a:solidFill>
                <a:schemeClr val="tx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9C1-4424-AC6A-FCD7CAFEF1A0}"/>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C9C1-4424-AC6A-FCD7CAFEF1A0}"/>
              </c:ext>
            </c:extLst>
          </c:dPt>
          <c:dPt>
            <c:idx val="2"/>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9C1-4424-AC6A-FCD7CAFEF1A0}"/>
              </c:ext>
            </c:extLst>
          </c:dPt>
          <c:dPt>
            <c:idx val="3"/>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C9C1-4424-AC6A-FCD7CAFEF1A0}"/>
              </c:ext>
            </c:extLst>
          </c:dPt>
          <c:dPt>
            <c:idx val="4"/>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9-C9C1-4424-AC6A-FCD7CAFEF1A0}"/>
              </c:ext>
            </c:extLst>
          </c:dPt>
          <c:dLbls>
            <c:dLbl>
              <c:idx val="0"/>
              <c:layout>
                <c:manualLayout>
                  <c:x val="0.20765813865328575"/>
                  <c:y val="2.2708482019242412E-2"/>
                </c:manualLayout>
              </c:layout>
              <c:numFmt formatCode="0.00%" sourceLinked="0"/>
              <c:spPr>
                <a:noFill/>
                <a:ln w="25400">
                  <a:noFill/>
                </a:ln>
              </c:spPr>
              <c:txPr>
                <a:bodyPr/>
                <a:lstStyle/>
                <a:p>
                  <a:pPr>
                    <a:defRPr sz="800" b="0" i="0" u="none" strike="noStrike" baseline="0">
                      <a:solidFill>
                        <a:srgbClr val="000000"/>
                      </a:solidFill>
                      <a:latin typeface="Calibri"/>
                      <a:ea typeface="Calibri"/>
                      <a:cs typeface="Calibri"/>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C1-4424-AC6A-FCD7CAFEF1A0}"/>
                </c:ext>
              </c:extLst>
            </c:dLbl>
            <c:dLbl>
              <c:idx val="1"/>
              <c:layout>
                <c:manualLayout>
                  <c:x val="0.2623374423024708"/>
                  <c:y val="1.8495439868577403E-2"/>
                </c:manualLayout>
              </c:layout>
              <c:numFmt formatCode="0.00%" sourceLinked="0"/>
              <c:spPr>
                <a:noFill/>
                <a:ln w="25400">
                  <a:noFill/>
                </a:ln>
              </c:spPr>
              <c:txPr>
                <a:bodyPr/>
                <a:lstStyle/>
                <a:p>
                  <a:pPr>
                    <a:defRPr sz="800" b="0" i="0" u="none" strike="noStrike" baseline="0">
                      <a:solidFill>
                        <a:srgbClr val="000000"/>
                      </a:solidFill>
                      <a:latin typeface="Calibri"/>
                      <a:ea typeface="Calibri"/>
                      <a:cs typeface="Calibri"/>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C1-4424-AC6A-FCD7CAFEF1A0}"/>
                </c:ext>
              </c:extLst>
            </c:dLbl>
            <c:dLbl>
              <c:idx val="2"/>
              <c:layout>
                <c:manualLayout>
                  <c:x val="0.213623821160286"/>
                  <c:y val="0.12547857776770691"/>
                </c:manualLayout>
              </c:layout>
              <c:numFmt formatCode="0.00%" sourceLinked="0"/>
              <c:spPr>
                <a:noFill/>
                <a:ln w="25400">
                  <a:noFill/>
                </a:ln>
              </c:spPr>
              <c:txPr>
                <a:bodyPr/>
                <a:lstStyle/>
                <a:p>
                  <a:pPr>
                    <a:defRPr sz="800" b="0" i="0" u="none" strike="noStrike" baseline="0">
                      <a:solidFill>
                        <a:srgbClr val="000000"/>
                      </a:solidFill>
                      <a:latin typeface="Calibri"/>
                      <a:ea typeface="Calibri"/>
                      <a:cs typeface="Calibri"/>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C1-4424-AC6A-FCD7CAFEF1A0}"/>
                </c:ext>
              </c:extLst>
            </c:dLbl>
            <c:dLbl>
              <c:idx val="3"/>
              <c:layout>
                <c:manualLayout>
                  <c:x val="-1.2206098961995801E-2"/>
                  <c:y val="9.7481211951032126E-2"/>
                </c:manualLayout>
              </c:layout>
              <c:numFmt formatCode="0.00%" sourceLinked="0"/>
              <c:spPr>
                <a:noFill/>
                <a:ln w="25400">
                  <a:noFill/>
                </a:ln>
              </c:spPr>
              <c:txPr>
                <a:bodyPr/>
                <a:lstStyle/>
                <a:p>
                  <a:pPr>
                    <a:defRPr sz="800" b="0" i="0" u="none" strike="noStrike" baseline="0">
                      <a:solidFill>
                        <a:srgbClr val="000000"/>
                      </a:solidFill>
                      <a:latin typeface="Calibri"/>
                      <a:ea typeface="Calibri"/>
                      <a:cs typeface="Calibri"/>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C1-4424-AC6A-FCD7CAFEF1A0}"/>
                </c:ext>
              </c:extLst>
            </c:dLbl>
            <c:dLbl>
              <c:idx val="4"/>
              <c:layout>
                <c:manualLayout>
                  <c:x val="-9.0065367308019579E-3"/>
                  <c:y val="8.3718655551849014E-2"/>
                </c:manualLayout>
              </c:layout>
              <c:numFmt formatCode="0.00%" sourceLinked="0"/>
              <c:spPr>
                <a:noFill/>
                <a:ln w="25400">
                  <a:noFill/>
                </a:ln>
              </c:spPr>
              <c:txPr>
                <a:bodyPr/>
                <a:lstStyle/>
                <a:p>
                  <a:pPr>
                    <a:defRPr sz="800" b="0" i="0" u="none" strike="noStrike" baseline="0">
                      <a:solidFill>
                        <a:srgbClr val="000000"/>
                      </a:solidFill>
                      <a:latin typeface="Calibri"/>
                      <a:ea typeface="Calibri"/>
                      <a:cs typeface="Calibri"/>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C1-4424-AC6A-FCD7CAFEF1A0}"/>
                </c:ext>
              </c:extLst>
            </c:dLbl>
            <c:numFmt formatCode="0.00%" sourceLinked="0"/>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sr-Latn-RS"/>
              </a:p>
            </c:txPr>
            <c:showLegendKey val="0"/>
            <c:showVal val="1"/>
            <c:showCatName val="1"/>
            <c:showSerName val="0"/>
            <c:showPercent val="0"/>
            <c:showBubbleSize val="0"/>
            <c:showLeaderLines val="1"/>
            <c:extLst>
              <c:ext xmlns:c15="http://schemas.microsoft.com/office/drawing/2012/chart" uri="{CE6537A1-D6FC-4f65-9D91-7224C49458BB}"/>
            </c:extLst>
          </c:dLbls>
          <c:cat>
            <c:strRef>
              <c:f>UDIO!$A$1:$A$5</c:f>
              <c:strCache>
                <c:ptCount val="5"/>
                <c:pt idx="0">
                  <c:v>PDV</c:v>
                </c:pt>
                <c:pt idx="1">
                  <c:v>Akciza na uvozne proizvode</c:v>
                </c:pt>
                <c:pt idx="2">
                  <c:v>Akciza na domaće proizvode</c:v>
                </c:pt>
                <c:pt idx="3">
                  <c:v>Putarina</c:v>
                </c:pt>
                <c:pt idx="4">
                  <c:v>Carina</c:v>
                </c:pt>
              </c:strCache>
            </c:strRef>
          </c:cat>
          <c:val>
            <c:numRef>
              <c:f>UDIO!$B$1:$B$5</c:f>
              <c:numCache>
                <c:formatCode>0.00%</c:formatCode>
                <c:ptCount val="5"/>
                <c:pt idx="0">
                  <c:v>0.72504693734354397</c:v>
                </c:pt>
                <c:pt idx="1">
                  <c:v>0.15724807706263999</c:v>
                </c:pt>
                <c:pt idx="2">
                  <c:v>3.43366697705327E-3</c:v>
                </c:pt>
                <c:pt idx="3">
                  <c:v>6.3234872639703593E-2</c:v>
                </c:pt>
                <c:pt idx="4">
                  <c:v>4.4516910834587399E-2</c:v>
                </c:pt>
              </c:numCache>
            </c:numRef>
          </c:val>
          <c:extLst>
            <c:ext xmlns:c16="http://schemas.microsoft.com/office/drawing/2014/chart" uri="{C3380CC4-5D6E-409C-BE32-E72D297353CC}">
              <c16:uniqueId val="{0000000A-C9C1-4424-AC6A-FCD7CAFEF1A0}"/>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'Akcize 2021-2022'!$B$7</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'Akcize 2021-2022'!$A$8:$A$19</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'Akcize 2021-2022'!$B$8:$B$19</c:f>
              <c:numCache>
                <c:formatCode>#,##0.00</c:formatCode>
                <c:ptCount val="12"/>
                <c:pt idx="0">
                  <c:v>31248741.445000004</c:v>
                </c:pt>
                <c:pt idx="1">
                  <c:v>38941292.11999999</c:v>
                </c:pt>
                <c:pt idx="2">
                  <c:v>41160693.819999993</c:v>
                </c:pt>
                <c:pt idx="3">
                  <c:v>40277389.580000013</c:v>
                </c:pt>
                <c:pt idx="4">
                  <c:v>41620657.850000024</c:v>
                </c:pt>
                <c:pt idx="5">
                  <c:v>47442824.469999999</c:v>
                </c:pt>
                <c:pt idx="6">
                  <c:v>47655127.180000007</c:v>
                </c:pt>
                <c:pt idx="7">
                  <c:v>55151061.909999967</c:v>
                </c:pt>
                <c:pt idx="8">
                  <c:v>49499311.50000006</c:v>
                </c:pt>
                <c:pt idx="9">
                  <c:v>48563782.919999957</c:v>
                </c:pt>
                <c:pt idx="10">
                  <c:v>44225587.899999999</c:v>
                </c:pt>
                <c:pt idx="11">
                  <c:v>45388397.900000095</c:v>
                </c:pt>
              </c:numCache>
            </c:numRef>
          </c:val>
          <c:smooth val="0"/>
          <c:extLst>
            <c:ext xmlns:c16="http://schemas.microsoft.com/office/drawing/2014/chart" uri="{C3380CC4-5D6E-409C-BE32-E72D297353CC}">
              <c16:uniqueId val="{00000000-F63D-4E93-BE70-25CE57978F66}"/>
            </c:ext>
          </c:extLst>
        </c:ser>
        <c:ser>
          <c:idx val="1"/>
          <c:order val="1"/>
          <c:tx>
            <c:strRef>
              <c:f>'Akcize 2021-2022'!$C$7</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'Akcize 2021-2022'!$A$8:$A$19</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'Akcize 2021-2022'!$C$8:$C$19</c:f>
              <c:numCache>
                <c:formatCode>#,##0.00</c:formatCode>
                <c:ptCount val="12"/>
                <c:pt idx="0">
                  <c:v>37820244.650000006</c:v>
                </c:pt>
                <c:pt idx="1">
                  <c:v>39022265.499999985</c:v>
                </c:pt>
                <c:pt idx="2">
                  <c:v>44031911.610000014</c:v>
                </c:pt>
                <c:pt idx="3">
                  <c:v>36279657.689999983</c:v>
                </c:pt>
                <c:pt idx="4">
                  <c:v>44463928.899999976</c:v>
                </c:pt>
                <c:pt idx="5">
                  <c:v>44726537.170000017</c:v>
                </c:pt>
                <c:pt idx="6">
                  <c:v>41506906.25</c:v>
                </c:pt>
                <c:pt idx="7">
                  <c:v>47165976.069999993</c:v>
                </c:pt>
                <c:pt idx="8">
                  <c:v>46034905.060000002</c:v>
                </c:pt>
                <c:pt idx="9">
                  <c:v>45125725.939999998</c:v>
                </c:pt>
                <c:pt idx="10">
                  <c:v>39548345.659999996</c:v>
                </c:pt>
                <c:pt idx="11">
                  <c:v>44000082.479999959</c:v>
                </c:pt>
              </c:numCache>
            </c:numRef>
          </c:val>
          <c:smooth val="0"/>
          <c:extLst>
            <c:ext xmlns:c16="http://schemas.microsoft.com/office/drawing/2014/chart" uri="{C3380CC4-5D6E-409C-BE32-E72D297353CC}">
              <c16:uniqueId val="{00000001-F63D-4E93-BE70-25CE57978F66}"/>
            </c:ext>
          </c:extLst>
        </c:ser>
        <c:dLbls>
          <c:showLegendKey val="0"/>
          <c:showVal val="0"/>
          <c:showCatName val="0"/>
          <c:showSerName val="0"/>
          <c:showPercent val="0"/>
          <c:showBubbleSize val="0"/>
        </c:dLbls>
        <c:marker val="1"/>
        <c:smooth val="0"/>
        <c:axId val="43556848"/>
        <c:axId val="43557680"/>
      </c:lineChart>
      <c:catAx>
        <c:axId val="435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557680"/>
        <c:crosses val="autoZero"/>
        <c:auto val="1"/>
        <c:lblAlgn val="ctr"/>
        <c:lblOffset val="100"/>
        <c:noMultiLvlLbl val="0"/>
      </c:catAx>
      <c:valAx>
        <c:axId val="43557680"/>
        <c:scaling>
          <c:orientation val="minMax"/>
          <c:min val="2500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55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sr-Latn-BA"/>
              <a:t>PREGLED REZERVISANIH SREDSTAVA ZA POVRATE PO VRSTAMA PRIHODA ZA PERIOD  01.01.-30.12.2021./2022. GODINE</a:t>
            </a:r>
          </a:p>
        </c:rich>
      </c:tx>
      <c:layout>
        <c:manualLayout>
          <c:xMode val="edge"/>
          <c:yMode val="edge"/>
          <c:x val="0.11257909863404841"/>
          <c:y val="1.8475714065153619E-2"/>
        </c:manualLayout>
      </c:layout>
      <c:overlay val="0"/>
    </c:title>
    <c:autoTitleDeleted val="0"/>
    <c:plotArea>
      <c:layout>
        <c:manualLayout>
          <c:layoutTarget val="inner"/>
          <c:xMode val="edge"/>
          <c:yMode val="edge"/>
          <c:x val="9.1355415489928371E-2"/>
          <c:y val="0.18873873706963101"/>
          <c:w val="0.87615234701644085"/>
          <c:h val="0.41580598037254579"/>
        </c:manualLayout>
      </c:layout>
      <c:barChart>
        <c:barDir val="col"/>
        <c:grouping val="clustered"/>
        <c:varyColors val="0"/>
        <c:ser>
          <c:idx val="0"/>
          <c:order val="0"/>
          <c:tx>
            <c:strRef>
              <c:f>'01.01.-30.12.2022'!$F$2</c:f>
              <c:strCache>
                <c:ptCount val="1"/>
                <c:pt idx="0">
                  <c:v>2021</c:v>
                </c:pt>
              </c:strCache>
            </c:strRef>
          </c:tx>
          <c:spPr>
            <a:solidFill>
              <a:srgbClr val="4F81BD"/>
            </a:solidFill>
            <a:ln w="25400">
              <a:noFill/>
            </a:ln>
          </c:spPr>
          <c:invertIfNegative val="0"/>
          <c:cat>
            <c:strRef>
              <c:f>'01.01.-30.12.2022'!$A$3:$E$8</c:f>
              <c:strCache>
                <c:ptCount val="6"/>
                <c:pt idx="0">
                  <c:v>Povrat PDV-a po poreskim prijavama</c:v>
                </c:pt>
                <c:pt idx="1">
                  <c:v>Prenos na komercijalne banke u svrhu povrata po rješenjima iz carinskog postupka</c:v>
                </c:pt>
                <c:pt idx="2">
                  <c:v>Povrat PDV-a u skladu sa članom 29. Zakona o PDV-u</c:v>
                </c:pt>
                <c:pt idx="3">
                  <c:v>Povrat akciza i PDV-a stranim poreskim obveznicima  </c:v>
                </c:pt>
                <c:pt idx="4">
                  <c:v>Povrat putarine 0,15 KM ( i zatezne kamate na putarinu 0,15 KM)</c:v>
                </c:pt>
                <c:pt idx="5">
                  <c:v>Ukupno</c:v>
                </c:pt>
              </c:strCache>
            </c:strRef>
          </c:cat>
          <c:val>
            <c:numRef>
              <c:f>'01.01.-30.12.2022'!$F$3:$F$8</c:f>
              <c:numCache>
                <c:formatCode>#,##0</c:formatCode>
                <c:ptCount val="6"/>
                <c:pt idx="0">
                  <c:v>1356847167.8599999</c:v>
                </c:pt>
                <c:pt idx="1">
                  <c:v>12767603.68</c:v>
                </c:pt>
                <c:pt idx="2">
                  <c:v>145143110.16</c:v>
                </c:pt>
                <c:pt idx="3">
                  <c:v>11331938.220000001</c:v>
                </c:pt>
                <c:pt idx="4">
                  <c:v>0</c:v>
                </c:pt>
                <c:pt idx="5">
                  <c:v>1526089819.9200001</c:v>
                </c:pt>
              </c:numCache>
            </c:numRef>
          </c:val>
          <c:extLst>
            <c:ext xmlns:c16="http://schemas.microsoft.com/office/drawing/2014/chart" uri="{C3380CC4-5D6E-409C-BE32-E72D297353CC}">
              <c16:uniqueId val="{00000000-5BE5-40FA-B785-A411E0AFF15F}"/>
            </c:ext>
          </c:extLst>
        </c:ser>
        <c:ser>
          <c:idx val="1"/>
          <c:order val="1"/>
          <c:tx>
            <c:strRef>
              <c:f>'01.01.-30.12.2022'!$G$2</c:f>
              <c:strCache>
                <c:ptCount val="1"/>
                <c:pt idx="0">
                  <c:v>2022</c:v>
                </c:pt>
              </c:strCache>
            </c:strRef>
          </c:tx>
          <c:spPr>
            <a:solidFill>
              <a:srgbClr val="C0504D"/>
            </a:solidFill>
            <a:ln w="25400">
              <a:noFill/>
            </a:ln>
          </c:spPr>
          <c:invertIfNegative val="0"/>
          <c:cat>
            <c:strRef>
              <c:f>'01.01.-30.12.2022'!$A$3:$E$8</c:f>
              <c:strCache>
                <c:ptCount val="6"/>
                <c:pt idx="0">
                  <c:v>Povrat PDV-a po poreskim prijavama</c:v>
                </c:pt>
                <c:pt idx="1">
                  <c:v>Prenos na komercijalne banke u svrhu povrata po rješenjima iz carinskog postupka</c:v>
                </c:pt>
                <c:pt idx="2">
                  <c:v>Povrat PDV-a u skladu sa članom 29. Zakona o PDV-u</c:v>
                </c:pt>
                <c:pt idx="3">
                  <c:v>Povrat akciza i PDV-a stranim poreskim obveznicima  </c:v>
                </c:pt>
                <c:pt idx="4">
                  <c:v>Povrat putarine 0,15 KM ( i zatezne kamate na putarinu 0,15 KM)</c:v>
                </c:pt>
                <c:pt idx="5">
                  <c:v>Ukupno</c:v>
                </c:pt>
              </c:strCache>
            </c:strRef>
          </c:cat>
          <c:val>
            <c:numRef>
              <c:f>'01.01.-30.12.2022'!$G$3:$G$8</c:f>
              <c:numCache>
                <c:formatCode>#,##0</c:formatCode>
                <c:ptCount val="6"/>
                <c:pt idx="0">
                  <c:v>1968706346.0599999</c:v>
                </c:pt>
                <c:pt idx="1">
                  <c:v>9966862.0600000005</c:v>
                </c:pt>
                <c:pt idx="2">
                  <c:v>105397392.84999999</c:v>
                </c:pt>
                <c:pt idx="3">
                  <c:v>15460486.49</c:v>
                </c:pt>
                <c:pt idx="4" formatCode="#,##0.00">
                  <c:v>4786.63</c:v>
                </c:pt>
                <c:pt idx="5">
                  <c:v>2099535874.0899999</c:v>
                </c:pt>
              </c:numCache>
            </c:numRef>
          </c:val>
          <c:extLst>
            <c:ext xmlns:c16="http://schemas.microsoft.com/office/drawing/2014/chart" uri="{C3380CC4-5D6E-409C-BE32-E72D297353CC}">
              <c16:uniqueId val="{00000001-5BE5-40FA-B785-A411E0AFF15F}"/>
            </c:ext>
          </c:extLst>
        </c:ser>
        <c:ser>
          <c:idx val="2"/>
          <c:order val="2"/>
          <c:tx>
            <c:strRef>
              <c:f>'01.01.-30.12.2022'!$H$2</c:f>
              <c:strCache>
                <c:ptCount val="1"/>
                <c:pt idx="0">
                  <c:v>Index</c:v>
                </c:pt>
              </c:strCache>
            </c:strRef>
          </c:tx>
          <c:spPr>
            <a:solidFill>
              <a:srgbClr val="9BBB59"/>
            </a:solidFill>
            <a:ln w="25400">
              <a:noFill/>
            </a:ln>
          </c:spPr>
          <c:invertIfNegative val="0"/>
          <c:cat>
            <c:strRef>
              <c:f>'01.01.-30.12.2022'!$A$3:$E$8</c:f>
              <c:strCache>
                <c:ptCount val="6"/>
                <c:pt idx="0">
                  <c:v>Povrat PDV-a po poreskim prijavama</c:v>
                </c:pt>
                <c:pt idx="1">
                  <c:v>Prenos na komercijalne banke u svrhu povrata po rješenjima iz carinskog postupka</c:v>
                </c:pt>
                <c:pt idx="2">
                  <c:v>Povrat PDV-a u skladu sa članom 29. Zakona o PDV-u</c:v>
                </c:pt>
                <c:pt idx="3">
                  <c:v>Povrat akciza i PDV-a stranim poreskim obveznicima  </c:v>
                </c:pt>
                <c:pt idx="4">
                  <c:v>Povrat putarine 0,15 KM ( i zatezne kamate na putarinu 0,15 KM)</c:v>
                </c:pt>
                <c:pt idx="5">
                  <c:v>Ukupno</c:v>
                </c:pt>
              </c:strCache>
            </c:strRef>
          </c:cat>
          <c:val>
            <c:numRef>
              <c:f>'01.01.-30.12.2022'!$H$3:$H$8</c:f>
              <c:numCache>
                <c:formatCode>#,##0.00</c:formatCode>
                <c:ptCount val="6"/>
                <c:pt idx="0">
                  <c:v>145.09418545384264</c:v>
                </c:pt>
                <c:pt idx="1">
                  <c:v>78.063686105895798</c:v>
                </c:pt>
                <c:pt idx="2">
                  <c:v>72.616187384860424</c:v>
                </c:pt>
                <c:pt idx="3">
                  <c:v>136.43285190801188</c:v>
                </c:pt>
                <c:pt idx="4">
                  <c:v>0</c:v>
                </c:pt>
                <c:pt idx="5">
                  <c:v>137.57616666364112</c:v>
                </c:pt>
              </c:numCache>
            </c:numRef>
          </c:val>
          <c:extLst>
            <c:ext xmlns:c16="http://schemas.microsoft.com/office/drawing/2014/chart" uri="{C3380CC4-5D6E-409C-BE32-E72D297353CC}">
              <c16:uniqueId val="{00000002-5BE5-40FA-B785-A411E0AFF15F}"/>
            </c:ext>
          </c:extLst>
        </c:ser>
        <c:ser>
          <c:idx val="3"/>
          <c:order val="3"/>
          <c:tx>
            <c:strRef>
              <c:f>'01.01.-30.12.2022'!$I$2</c:f>
              <c:strCache>
                <c:ptCount val="1"/>
                <c:pt idx="0">
                  <c:v>Razlika</c:v>
                </c:pt>
              </c:strCache>
            </c:strRef>
          </c:tx>
          <c:spPr>
            <a:solidFill>
              <a:schemeClr val="bg1">
                <a:alpha val="0"/>
              </a:schemeClr>
            </a:solidFill>
            <a:ln>
              <a:noFill/>
            </a:ln>
            <a:effectLst/>
          </c:spPr>
          <c:invertIfNegative val="0"/>
          <c:cat>
            <c:strRef>
              <c:f>'01.01.-30.12.2022'!$A$3:$E$8</c:f>
              <c:strCache>
                <c:ptCount val="6"/>
                <c:pt idx="0">
                  <c:v>Povrat PDV-a po poreskim prijavama</c:v>
                </c:pt>
                <c:pt idx="1">
                  <c:v>Prenos na komercijalne banke u svrhu povrata po rješenjima iz carinskog postupka</c:v>
                </c:pt>
                <c:pt idx="2">
                  <c:v>Povrat PDV-a u skladu sa članom 29. Zakona o PDV-u</c:v>
                </c:pt>
                <c:pt idx="3">
                  <c:v>Povrat akciza i PDV-a stranim poreskim obveznicima  </c:v>
                </c:pt>
                <c:pt idx="4">
                  <c:v>Povrat putarine 0,15 KM ( i zatezne kamate na putarinu 0,15 KM)</c:v>
                </c:pt>
                <c:pt idx="5">
                  <c:v>Ukupno</c:v>
                </c:pt>
              </c:strCache>
            </c:strRef>
          </c:cat>
          <c:val>
            <c:numRef>
              <c:f>'01.01.-30.12.2022'!$I$3:$I$8</c:f>
              <c:numCache>
                <c:formatCode>#,##0</c:formatCode>
                <c:ptCount val="6"/>
                <c:pt idx="0">
                  <c:v>611859178.20000005</c:v>
                </c:pt>
                <c:pt idx="1">
                  <c:v>-2800741.6199999992</c:v>
                </c:pt>
                <c:pt idx="2">
                  <c:v>-39745717.310000002</c:v>
                </c:pt>
                <c:pt idx="3">
                  <c:v>4128548.2699999996</c:v>
                </c:pt>
                <c:pt idx="4">
                  <c:v>0</c:v>
                </c:pt>
                <c:pt idx="5">
                  <c:v>573446054.16999984</c:v>
                </c:pt>
              </c:numCache>
            </c:numRef>
          </c:val>
          <c:extLst>
            <c:ext xmlns:c16="http://schemas.microsoft.com/office/drawing/2014/chart" uri="{C3380CC4-5D6E-409C-BE32-E72D297353CC}">
              <c16:uniqueId val="{00000003-5BE5-40FA-B785-A411E0AFF15F}"/>
            </c:ext>
          </c:extLst>
        </c:ser>
        <c:dLbls>
          <c:showLegendKey val="0"/>
          <c:showVal val="0"/>
          <c:showCatName val="0"/>
          <c:showSerName val="0"/>
          <c:showPercent val="0"/>
          <c:showBubbleSize val="0"/>
        </c:dLbls>
        <c:gapWidth val="179"/>
        <c:overlap val="-49"/>
        <c:axId val="51593600"/>
        <c:axId val="51595136"/>
      </c:barChart>
      <c:catAx>
        <c:axId val="5159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51595136"/>
        <c:crosses val="autoZero"/>
        <c:auto val="1"/>
        <c:lblAlgn val="ctr"/>
        <c:lblOffset val="100"/>
        <c:noMultiLvlLbl val="0"/>
      </c:catAx>
      <c:valAx>
        <c:axId val="51595136"/>
        <c:scaling>
          <c:orientation val="minMax"/>
          <c:max val="16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r-Latn-RS"/>
          </a:p>
        </c:txPr>
        <c:crossAx val="51593600"/>
        <c:crosses val="autoZero"/>
        <c:crossBetween val="between"/>
        <c:majorUnit val="200000000"/>
      </c:valAx>
      <c:dTable>
        <c:showHorzBorder val="1"/>
        <c:showVertBorder val="1"/>
        <c:showOutline val="1"/>
        <c:showKeys val="1"/>
        <c:spPr>
          <a:noFill/>
          <a:ln w="9525" cap="flat" cmpd="sng" algn="ctr">
            <a:solidFill>
              <a:schemeClr val="tx1">
                <a:lumMod val="15000"/>
                <a:lumOff val="85000"/>
              </a:schemeClr>
            </a:solidFill>
            <a:round/>
          </a:ln>
          <a:effectLst/>
        </c:spPr>
        <c:txPr>
          <a:bodyPr/>
          <a:lstStyle/>
          <a:p>
            <a:pPr rtl="0">
              <a:defRPr sz="850" b="0" i="0" u="none" strike="noStrike" baseline="0">
                <a:solidFill>
                  <a:srgbClr val="333333"/>
                </a:solidFill>
                <a:latin typeface="Calibri"/>
                <a:ea typeface="Calibri"/>
                <a:cs typeface="Calibri"/>
              </a:defRPr>
            </a:pPr>
            <a:endParaRPr lang="sr-Latn-R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37BB-93E8-4C23-9964-61DDE5F2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19741</Words>
  <Characters>112527</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132004</CharactersWithSpaces>
  <SharedDoc>false</SharedDoc>
  <HLinks>
    <vt:vector size="186" baseType="variant">
      <vt:variant>
        <vt:i4>3342398</vt:i4>
      </vt:variant>
      <vt:variant>
        <vt:i4>186</vt:i4>
      </vt:variant>
      <vt:variant>
        <vt:i4>0</vt:i4>
      </vt:variant>
      <vt:variant>
        <vt:i4>5</vt:i4>
      </vt:variant>
      <vt:variant>
        <vt:lpwstr>http://www.new.uino.gov.ba/get/5527</vt:lpwstr>
      </vt:variant>
      <vt:variant>
        <vt:lpwstr/>
      </vt:variant>
      <vt:variant>
        <vt:i4>1114167</vt:i4>
      </vt:variant>
      <vt:variant>
        <vt:i4>176</vt:i4>
      </vt:variant>
      <vt:variant>
        <vt:i4>0</vt:i4>
      </vt:variant>
      <vt:variant>
        <vt:i4>5</vt:i4>
      </vt:variant>
      <vt:variant>
        <vt:lpwstr/>
      </vt:variant>
      <vt:variant>
        <vt:lpwstr>_Toc62456130</vt:lpwstr>
      </vt:variant>
      <vt:variant>
        <vt:i4>1572918</vt:i4>
      </vt:variant>
      <vt:variant>
        <vt:i4>170</vt:i4>
      </vt:variant>
      <vt:variant>
        <vt:i4>0</vt:i4>
      </vt:variant>
      <vt:variant>
        <vt:i4>5</vt:i4>
      </vt:variant>
      <vt:variant>
        <vt:lpwstr/>
      </vt:variant>
      <vt:variant>
        <vt:lpwstr>_Toc62456129</vt:lpwstr>
      </vt:variant>
      <vt:variant>
        <vt:i4>1638454</vt:i4>
      </vt:variant>
      <vt:variant>
        <vt:i4>164</vt:i4>
      </vt:variant>
      <vt:variant>
        <vt:i4>0</vt:i4>
      </vt:variant>
      <vt:variant>
        <vt:i4>5</vt:i4>
      </vt:variant>
      <vt:variant>
        <vt:lpwstr/>
      </vt:variant>
      <vt:variant>
        <vt:lpwstr>_Toc62456128</vt:lpwstr>
      </vt:variant>
      <vt:variant>
        <vt:i4>1441846</vt:i4>
      </vt:variant>
      <vt:variant>
        <vt:i4>158</vt:i4>
      </vt:variant>
      <vt:variant>
        <vt:i4>0</vt:i4>
      </vt:variant>
      <vt:variant>
        <vt:i4>5</vt:i4>
      </vt:variant>
      <vt:variant>
        <vt:lpwstr/>
      </vt:variant>
      <vt:variant>
        <vt:lpwstr>_Toc62456127</vt:lpwstr>
      </vt:variant>
      <vt:variant>
        <vt:i4>1507382</vt:i4>
      </vt:variant>
      <vt:variant>
        <vt:i4>152</vt:i4>
      </vt:variant>
      <vt:variant>
        <vt:i4>0</vt:i4>
      </vt:variant>
      <vt:variant>
        <vt:i4>5</vt:i4>
      </vt:variant>
      <vt:variant>
        <vt:lpwstr/>
      </vt:variant>
      <vt:variant>
        <vt:lpwstr>_Toc62456126</vt:lpwstr>
      </vt:variant>
      <vt:variant>
        <vt:i4>1310774</vt:i4>
      </vt:variant>
      <vt:variant>
        <vt:i4>146</vt:i4>
      </vt:variant>
      <vt:variant>
        <vt:i4>0</vt:i4>
      </vt:variant>
      <vt:variant>
        <vt:i4>5</vt:i4>
      </vt:variant>
      <vt:variant>
        <vt:lpwstr/>
      </vt:variant>
      <vt:variant>
        <vt:lpwstr>_Toc62456125</vt:lpwstr>
      </vt:variant>
      <vt:variant>
        <vt:i4>1376310</vt:i4>
      </vt:variant>
      <vt:variant>
        <vt:i4>140</vt:i4>
      </vt:variant>
      <vt:variant>
        <vt:i4>0</vt:i4>
      </vt:variant>
      <vt:variant>
        <vt:i4>5</vt:i4>
      </vt:variant>
      <vt:variant>
        <vt:lpwstr/>
      </vt:variant>
      <vt:variant>
        <vt:lpwstr>_Toc62456124</vt:lpwstr>
      </vt:variant>
      <vt:variant>
        <vt:i4>1179702</vt:i4>
      </vt:variant>
      <vt:variant>
        <vt:i4>134</vt:i4>
      </vt:variant>
      <vt:variant>
        <vt:i4>0</vt:i4>
      </vt:variant>
      <vt:variant>
        <vt:i4>5</vt:i4>
      </vt:variant>
      <vt:variant>
        <vt:lpwstr/>
      </vt:variant>
      <vt:variant>
        <vt:lpwstr>_Toc62456123</vt:lpwstr>
      </vt:variant>
      <vt:variant>
        <vt:i4>1245238</vt:i4>
      </vt:variant>
      <vt:variant>
        <vt:i4>128</vt:i4>
      </vt:variant>
      <vt:variant>
        <vt:i4>0</vt:i4>
      </vt:variant>
      <vt:variant>
        <vt:i4>5</vt:i4>
      </vt:variant>
      <vt:variant>
        <vt:lpwstr/>
      </vt:variant>
      <vt:variant>
        <vt:lpwstr>_Toc62456122</vt:lpwstr>
      </vt:variant>
      <vt:variant>
        <vt:i4>1048630</vt:i4>
      </vt:variant>
      <vt:variant>
        <vt:i4>122</vt:i4>
      </vt:variant>
      <vt:variant>
        <vt:i4>0</vt:i4>
      </vt:variant>
      <vt:variant>
        <vt:i4>5</vt:i4>
      </vt:variant>
      <vt:variant>
        <vt:lpwstr/>
      </vt:variant>
      <vt:variant>
        <vt:lpwstr>_Toc62456121</vt:lpwstr>
      </vt:variant>
      <vt:variant>
        <vt:i4>1114166</vt:i4>
      </vt:variant>
      <vt:variant>
        <vt:i4>116</vt:i4>
      </vt:variant>
      <vt:variant>
        <vt:i4>0</vt:i4>
      </vt:variant>
      <vt:variant>
        <vt:i4>5</vt:i4>
      </vt:variant>
      <vt:variant>
        <vt:lpwstr/>
      </vt:variant>
      <vt:variant>
        <vt:lpwstr>_Toc62456120</vt:lpwstr>
      </vt:variant>
      <vt:variant>
        <vt:i4>1572917</vt:i4>
      </vt:variant>
      <vt:variant>
        <vt:i4>110</vt:i4>
      </vt:variant>
      <vt:variant>
        <vt:i4>0</vt:i4>
      </vt:variant>
      <vt:variant>
        <vt:i4>5</vt:i4>
      </vt:variant>
      <vt:variant>
        <vt:lpwstr/>
      </vt:variant>
      <vt:variant>
        <vt:lpwstr>_Toc62456119</vt:lpwstr>
      </vt:variant>
      <vt:variant>
        <vt:i4>1638453</vt:i4>
      </vt:variant>
      <vt:variant>
        <vt:i4>104</vt:i4>
      </vt:variant>
      <vt:variant>
        <vt:i4>0</vt:i4>
      </vt:variant>
      <vt:variant>
        <vt:i4>5</vt:i4>
      </vt:variant>
      <vt:variant>
        <vt:lpwstr/>
      </vt:variant>
      <vt:variant>
        <vt:lpwstr>_Toc62456118</vt:lpwstr>
      </vt:variant>
      <vt:variant>
        <vt:i4>1441845</vt:i4>
      </vt:variant>
      <vt:variant>
        <vt:i4>98</vt:i4>
      </vt:variant>
      <vt:variant>
        <vt:i4>0</vt:i4>
      </vt:variant>
      <vt:variant>
        <vt:i4>5</vt:i4>
      </vt:variant>
      <vt:variant>
        <vt:lpwstr/>
      </vt:variant>
      <vt:variant>
        <vt:lpwstr>_Toc62456117</vt:lpwstr>
      </vt:variant>
      <vt:variant>
        <vt:i4>1507381</vt:i4>
      </vt:variant>
      <vt:variant>
        <vt:i4>92</vt:i4>
      </vt:variant>
      <vt:variant>
        <vt:i4>0</vt:i4>
      </vt:variant>
      <vt:variant>
        <vt:i4>5</vt:i4>
      </vt:variant>
      <vt:variant>
        <vt:lpwstr/>
      </vt:variant>
      <vt:variant>
        <vt:lpwstr>_Toc62456116</vt:lpwstr>
      </vt:variant>
      <vt:variant>
        <vt:i4>1310773</vt:i4>
      </vt:variant>
      <vt:variant>
        <vt:i4>86</vt:i4>
      </vt:variant>
      <vt:variant>
        <vt:i4>0</vt:i4>
      </vt:variant>
      <vt:variant>
        <vt:i4>5</vt:i4>
      </vt:variant>
      <vt:variant>
        <vt:lpwstr/>
      </vt:variant>
      <vt:variant>
        <vt:lpwstr>_Toc62456115</vt:lpwstr>
      </vt:variant>
      <vt:variant>
        <vt:i4>1376309</vt:i4>
      </vt:variant>
      <vt:variant>
        <vt:i4>80</vt:i4>
      </vt:variant>
      <vt:variant>
        <vt:i4>0</vt:i4>
      </vt:variant>
      <vt:variant>
        <vt:i4>5</vt:i4>
      </vt:variant>
      <vt:variant>
        <vt:lpwstr/>
      </vt:variant>
      <vt:variant>
        <vt:lpwstr>_Toc62456114</vt:lpwstr>
      </vt:variant>
      <vt:variant>
        <vt:i4>1179701</vt:i4>
      </vt:variant>
      <vt:variant>
        <vt:i4>74</vt:i4>
      </vt:variant>
      <vt:variant>
        <vt:i4>0</vt:i4>
      </vt:variant>
      <vt:variant>
        <vt:i4>5</vt:i4>
      </vt:variant>
      <vt:variant>
        <vt:lpwstr/>
      </vt:variant>
      <vt:variant>
        <vt:lpwstr>_Toc62456113</vt:lpwstr>
      </vt:variant>
      <vt:variant>
        <vt:i4>1245237</vt:i4>
      </vt:variant>
      <vt:variant>
        <vt:i4>68</vt:i4>
      </vt:variant>
      <vt:variant>
        <vt:i4>0</vt:i4>
      </vt:variant>
      <vt:variant>
        <vt:i4>5</vt:i4>
      </vt:variant>
      <vt:variant>
        <vt:lpwstr/>
      </vt:variant>
      <vt:variant>
        <vt:lpwstr>_Toc62456112</vt:lpwstr>
      </vt:variant>
      <vt:variant>
        <vt:i4>1048629</vt:i4>
      </vt:variant>
      <vt:variant>
        <vt:i4>62</vt:i4>
      </vt:variant>
      <vt:variant>
        <vt:i4>0</vt:i4>
      </vt:variant>
      <vt:variant>
        <vt:i4>5</vt:i4>
      </vt:variant>
      <vt:variant>
        <vt:lpwstr/>
      </vt:variant>
      <vt:variant>
        <vt:lpwstr>_Toc62456111</vt:lpwstr>
      </vt:variant>
      <vt:variant>
        <vt:i4>1114165</vt:i4>
      </vt:variant>
      <vt:variant>
        <vt:i4>56</vt:i4>
      </vt:variant>
      <vt:variant>
        <vt:i4>0</vt:i4>
      </vt:variant>
      <vt:variant>
        <vt:i4>5</vt:i4>
      </vt:variant>
      <vt:variant>
        <vt:lpwstr/>
      </vt:variant>
      <vt:variant>
        <vt:lpwstr>_Toc62456110</vt:lpwstr>
      </vt:variant>
      <vt:variant>
        <vt:i4>1572916</vt:i4>
      </vt:variant>
      <vt:variant>
        <vt:i4>50</vt:i4>
      </vt:variant>
      <vt:variant>
        <vt:i4>0</vt:i4>
      </vt:variant>
      <vt:variant>
        <vt:i4>5</vt:i4>
      </vt:variant>
      <vt:variant>
        <vt:lpwstr/>
      </vt:variant>
      <vt:variant>
        <vt:lpwstr>_Toc62456109</vt:lpwstr>
      </vt:variant>
      <vt:variant>
        <vt:i4>1638452</vt:i4>
      </vt:variant>
      <vt:variant>
        <vt:i4>44</vt:i4>
      </vt:variant>
      <vt:variant>
        <vt:i4>0</vt:i4>
      </vt:variant>
      <vt:variant>
        <vt:i4>5</vt:i4>
      </vt:variant>
      <vt:variant>
        <vt:lpwstr/>
      </vt:variant>
      <vt:variant>
        <vt:lpwstr>_Toc62456108</vt:lpwstr>
      </vt:variant>
      <vt:variant>
        <vt:i4>1441844</vt:i4>
      </vt:variant>
      <vt:variant>
        <vt:i4>38</vt:i4>
      </vt:variant>
      <vt:variant>
        <vt:i4>0</vt:i4>
      </vt:variant>
      <vt:variant>
        <vt:i4>5</vt:i4>
      </vt:variant>
      <vt:variant>
        <vt:lpwstr/>
      </vt:variant>
      <vt:variant>
        <vt:lpwstr>_Toc62456107</vt:lpwstr>
      </vt:variant>
      <vt:variant>
        <vt:i4>1507380</vt:i4>
      </vt:variant>
      <vt:variant>
        <vt:i4>32</vt:i4>
      </vt:variant>
      <vt:variant>
        <vt:i4>0</vt:i4>
      </vt:variant>
      <vt:variant>
        <vt:i4>5</vt:i4>
      </vt:variant>
      <vt:variant>
        <vt:lpwstr/>
      </vt:variant>
      <vt:variant>
        <vt:lpwstr>_Toc62456106</vt:lpwstr>
      </vt:variant>
      <vt:variant>
        <vt:i4>1310772</vt:i4>
      </vt:variant>
      <vt:variant>
        <vt:i4>26</vt:i4>
      </vt:variant>
      <vt:variant>
        <vt:i4>0</vt:i4>
      </vt:variant>
      <vt:variant>
        <vt:i4>5</vt:i4>
      </vt:variant>
      <vt:variant>
        <vt:lpwstr/>
      </vt:variant>
      <vt:variant>
        <vt:lpwstr>_Toc62456105</vt:lpwstr>
      </vt:variant>
      <vt:variant>
        <vt:i4>1376308</vt:i4>
      </vt:variant>
      <vt:variant>
        <vt:i4>20</vt:i4>
      </vt:variant>
      <vt:variant>
        <vt:i4>0</vt:i4>
      </vt:variant>
      <vt:variant>
        <vt:i4>5</vt:i4>
      </vt:variant>
      <vt:variant>
        <vt:lpwstr/>
      </vt:variant>
      <vt:variant>
        <vt:lpwstr>_Toc62456104</vt:lpwstr>
      </vt:variant>
      <vt:variant>
        <vt:i4>1179700</vt:i4>
      </vt:variant>
      <vt:variant>
        <vt:i4>14</vt:i4>
      </vt:variant>
      <vt:variant>
        <vt:i4>0</vt:i4>
      </vt:variant>
      <vt:variant>
        <vt:i4>5</vt:i4>
      </vt:variant>
      <vt:variant>
        <vt:lpwstr/>
      </vt:variant>
      <vt:variant>
        <vt:lpwstr>_Toc62456103</vt:lpwstr>
      </vt:variant>
      <vt:variant>
        <vt:i4>1245236</vt:i4>
      </vt:variant>
      <vt:variant>
        <vt:i4>8</vt:i4>
      </vt:variant>
      <vt:variant>
        <vt:i4>0</vt:i4>
      </vt:variant>
      <vt:variant>
        <vt:i4>5</vt:i4>
      </vt:variant>
      <vt:variant>
        <vt:lpwstr/>
      </vt:variant>
      <vt:variant>
        <vt:lpwstr>_Toc62456102</vt:lpwstr>
      </vt:variant>
      <vt:variant>
        <vt:i4>1048628</vt:i4>
      </vt:variant>
      <vt:variant>
        <vt:i4>2</vt:i4>
      </vt:variant>
      <vt:variant>
        <vt:i4>0</vt:i4>
      </vt:variant>
      <vt:variant>
        <vt:i4>5</vt:i4>
      </vt:variant>
      <vt:variant>
        <vt:lpwstr/>
      </vt:variant>
      <vt:variant>
        <vt:lpwstr>_Toc62456101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Tarabic</dc:creator>
  <cp:lastModifiedBy>Zora Aleksić</cp:lastModifiedBy>
  <cp:revision>25</cp:revision>
  <cp:lastPrinted>2023-02-01T10:54:00Z</cp:lastPrinted>
  <dcterms:created xsi:type="dcterms:W3CDTF">2023-02-01T12:56:00Z</dcterms:created>
  <dcterms:modified xsi:type="dcterms:W3CDTF">2023-02-10T14:15:00Z</dcterms:modified>
</cp:coreProperties>
</file>